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D5" w:rsidRPr="003859B6" w:rsidRDefault="00A657D5" w:rsidP="00273B3E">
      <w:pPr>
        <w:sectPr w:rsidR="00A657D5" w:rsidRPr="003859B6" w:rsidSect="007C2C0E">
          <w:headerReference w:type="even" r:id="rId16"/>
          <w:headerReference w:type="default" r:id="rId17"/>
          <w:footerReference w:type="even" r:id="rId18"/>
          <w:footerReference w:type="default" r:id="rId19"/>
          <w:endnotePr>
            <w:numFmt w:val="decimal"/>
          </w:endnotePr>
          <w:pgSz w:w="11906" w:h="16838"/>
          <w:pgMar w:top="737" w:right="312" w:bottom="300" w:left="369" w:header="0" w:footer="0" w:gutter="0"/>
          <w:cols w:space="720"/>
          <w:titlePg/>
          <w:docGrid w:linePitch="299"/>
        </w:sectPr>
      </w:pPr>
      <w:r w:rsidRPr="003859B6">
        <w:fldChar w:fldCharType="begin"/>
      </w:r>
      <w:r w:rsidRPr="003859B6">
        <w:instrText xml:space="preserve"> MACROBUTTON InsertCVP.main  \* MERGEFORMAT</w:instrText>
      </w:r>
      <w:bookmarkStart w:id="0" w:name="_MON_1535526644"/>
      <w:bookmarkEnd w:id="0"/>
      <w:r w:rsidR="00214352" w:rsidRPr="003859B6">
        <w:object w:dxaOrig="11096" w:dyaOrig="15274" w14:anchorId="30686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05pt;height:763.55pt" o:ole="">
            <v:imagedata r:id="rId20" o:title=""/>
          </v:shape>
          <o:OLEObject Type="Embed" ProgID="Word.Document.8" ShapeID="_x0000_i1025" DrawAspect="Content" ObjectID="_1548252741" r:id="rId21">
            <o:FieldCodes>\s</o:FieldCodes>
          </o:OLEObject>
        </w:object>
      </w:r>
      <w:r w:rsidRPr="003859B6">
        <w:instrText xml:space="preserve"> </w:instrText>
      </w:r>
      <w:r w:rsidRPr="003859B6">
        <w:fldChar w:fldCharType="end"/>
      </w:r>
    </w:p>
    <w:p w:rsidR="00CE49F0" w:rsidRPr="003859B6" w:rsidRDefault="00CE49F0">
      <w:pPr>
        <w:pStyle w:val="TableofContentsHeading"/>
        <w:ind w:left="708" w:hanging="708"/>
      </w:pPr>
      <w:bookmarkStart w:id="1" w:name="TOC"/>
      <w:bookmarkStart w:id="2" w:name="_Toc472354571"/>
      <w:bookmarkStart w:id="3" w:name="_Toc472936618"/>
      <w:r w:rsidRPr="003859B6">
        <w:t>Table of contents</w:t>
      </w:r>
    </w:p>
    <w:p w:rsidR="003374B9" w:rsidRPr="003859B6" w:rsidRDefault="00CE49F0">
      <w:pPr>
        <w:pStyle w:val="TOC2"/>
        <w:rPr>
          <w:rFonts w:asciiTheme="minorHAnsi" w:eastAsiaTheme="minorEastAsia" w:hAnsiTheme="minorHAnsi" w:cstheme="minorBidi"/>
          <w:noProof/>
          <w:lang w:eastAsia="en-GB"/>
        </w:rPr>
      </w:pPr>
      <w:r w:rsidRPr="003859B6">
        <w:rPr>
          <w:b/>
          <w:noProof/>
        </w:rPr>
        <w:fldChar w:fldCharType="begin"/>
      </w:r>
      <w:r w:rsidRPr="003859B6">
        <w:rPr>
          <w:b/>
          <w:noProof/>
        </w:rPr>
        <w:instrText xml:space="preserve"> TOC \o "1-3" \t "Summary Heading;1;Preface Heading;1;Conclusion Heading;1;Bibliography Heading;1;Appendix Heading;1;Annex Heading;1;Glossary Heading;1;Index Heading;1;Executive Summary Heading;1;Foreword Heading;1;Annexes Heading;1;Part Heading;1;Introduction Heading;1" \h</w:instrText>
      </w:r>
      <w:r w:rsidRPr="003859B6">
        <w:rPr>
          <w:b/>
          <w:noProof/>
        </w:rPr>
        <w:fldChar w:fldCharType="separate"/>
      </w:r>
      <w:hyperlink w:anchor="_Toc474487624" w:history="1">
        <w:r w:rsidR="003374B9" w:rsidRPr="003859B6">
          <w:rPr>
            <w:rStyle w:val="Hyperlink"/>
            <w:noProof/>
          </w:rPr>
          <w:t>1. Contribution of fisheries and aquaculture to food security in Indonesia</w:t>
        </w:r>
        <w:r w:rsidR="003374B9" w:rsidRPr="003859B6">
          <w:rPr>
            <w:noProof/>
          </w:rPr>
          <w:tab/>
        </w:r>
        <w:r w:rsidR="003374B9" w:rsidRPr="003859B6">
          <w:rPr>
            <w:noProof/>
          </w:rPr>
          <w:fldChar w:fldCharType="begin"/>
        </w:r>
        <w:r w:rsidR="003374B9" w:rsidRPr="003859B6">
          <w:rPr>
            <w:noProof/>
          </w:rPr>
          <w:instrText xml:space="preserve"> PAGEREF _Toc474487624 \h </w:instrText>
        </w:r>
        <w:r w:rsidR="003374B9" w:rsidRPr="003859B6">
          <w:rPr>
            <w:noProof/>
          </w:rPr>
        </w:r>
        <w:r w:rsidR="003374B9" w:rsidRPr="003859B6">
          <w:rPr>
            <w:noProof/>
          </w:rPr>
          <w:fldChar w:fldCharType="separate"/>
        </w:r>
        <w:r w:rsidR="003374B9" w:rsidRPr="003859B6">
          <w:rPr>
            <w:noProof/>
          </w:rPr>
          <w:t>7</w:t>
        </w:r>
        <w:r w:rsidR="003374B9" w:rsidRPr="003859B6">
          <w:rPr>
            <w:noProof/>
          </w:rPr>
          <w:fldChar w:fldCharType="end"/>
        </w:r>
      </w:hyperlink>
    </w:p>
    <w:p w:rsidR="003374B9" w:rsidRPr="003859B6" w:rsidRDefault="003374B9">
      <w:pPr>
        <w:pStyle w:val="TOC3"/>
        <w:rPr>
          <w:rFonts w:asciiTheme="minorHAnsi" w:eastAsiaTheme="minorEastAsia" w:hAnsiTheme="minorHAnsi" w:cstheme="minorBidi"/>
          <w:noProof/>
          <w:lang w:eastAsia="en-GB"/>
        </w:rPr>
      </w:pPr>
      <w:hyperlink w:anchor="_Toc474487625" w:history="1">
        <w:r w:rsidRPr="003859B6">
          <w:rPr>
            <w:rStyle w:val="Hyperlink"/>
            <w:noProof/>
          </w:rPr>
          <w:t>Food insecurity and malnutrition in Indonesia</w:t>
        </w:r>
        <w:r w:rsidRPr="003859B6">
          <w:rPr>
            <w:noProof/>
          </w:rPr>
          <w:tab/>
        </w:r>
        <w:r w:rsidRPr="003859B6">
          <w:rPr>
            <w:noProof/>
          </w:rPr>
          <w:fldChar w:fldCharType="begin"/>
        </w:r>
        <w:r w:rsidRPr="003859B6">
          <w:rPr>
            <w:noProof/>
          </w:rPr>
          <w:instrText xml:space="preserve"> PAGEREF _Toc474487625 \h </w:instrText>
        </w:r>
        <w:r w:rsidRPr="003859B6">
          <w:rPr>
            <w:noProof/>
          </w:rPr>
        </w:r>
        <w:r w:rsidRPr="003859B6">
          <w:rPr>
            <w:noProof/>
          </w:rPr>
          <w:fldChar w:fldCharType="separate"/>
        </w:r>
        <w:r w:rsidRPr="003859B6">
          <w:rPr>
            <w:noProof/>
          </w:rPr>
          <w:t>7</w:t>
        </w:r>
        <w:r w:rsidRPr="003859B6">
          <w:rPr>
            <w:noProof/>
          </w:rPr>
          <w:fldChar w:fldCharType="end"/>
        </w:r>
      </w:hyperlink>
    </w:p>
    <w:p w:rsidR="003374B9" w:rsidRPr="003859B6" w:rsidRDefault="003374B9">
      <w:pPr>
        <w:pStyle w:val="TOC3"/>
        <w:rPr>
          <w:rFonts w:asciiTheme="minorHAnsi" w:eastAsiaTheme="minorEastAsia" w:hAnsiTheme="minorHAnsi" w:cstheme="minorBidi"/>
          <w:noProof/>
          <w:lang w:eastAsia="en-GB"/>
        </w:rPr>
      </w:pPr>
      <w:hyperlink w:anchor="_Toc474487626" w:history="1">
        <w:r w:rsidRPr="003859B6">
          <w:rPr>
            <w:rStyle w:val="Hyperlink"/>
            <w:noProof/>
          </w:rPr>
          <w:t>Fisheries and aquaculture sector contribution to food security and incomes</w:t>
        </w:r>
        <w:r w:rsidRPr="003859B6">
          <w:rPr>
            <w:noProof/>
          </w:rPr>
          <w:tab/>
        </w:r>
        <w:r w:rsidRPr="003859B6">
          <w:rPr>
            <w:noProof/>
          </w:rPr>
          <w:fldChar w:fldCharType="begin"/>
        </w:r>
        <w:r w:rsidRPr="003859B6">
          <w:rPr>
            <w:noProof/>
          </w:rPr>
          <w:instrText xml:space="preserve"> PAGEREF _Toc474487626 \h </w:instrText>
        </w:r>
        <w:r w:rsidRPr="003859B6">
          <w:rPr>
            <w:noProof/>
          </w:rPr>
        </w:r>
        <w:r w:rsidRPr="003859B6">
          <w:rPr>
            <w:noProof/>
          </w:rPr>
          <w:fldChar w:fldCharType="separate"/>
        </w:r>
        <w:r w:rsidRPr="003859B6">
          <w:rPr>
            <w:noProof/>
          </w:rPr>
          <w:t>9</w:t>
        </w:r>
        <w:r w:rsidRPr="003859B6">
          <w:rPr>
            <w:noProof/>
          </w:rPr>
          <w:fldChar w:fldCharType="end"/>
        </w:r>
      </w:hyperlink>
    </w:p>
    <w:p w:rsidR="003374B9" w:rsidRPr="003859B6" w:rsidRDefault="003374B9">
      <w:pPr>
        <w:pStyle w:val="TOC3"/>
        <w:rPr>
          <w:rFonts w:asciiTheme="minorHAnsi" w:eastAsiaTheme="minorEastAsia" w:hAnsiTheme="minorHAnsi" w:cstheme="minorBidi"/>
          <w:noProof/>
          <w:lang w:eastAsia="en-GB"/>
        </w:rPr>
      </w:pPr>
      <w:hyperlink w:anchor="_Toc474487627" w:history="1">
        <w:r w:rsidRPr="003859B6">
          <w:rPr>
            <w:rStyle w:val="Hyperlink"/>
            <w:noProof/>
          </w:rPr>
          <w:t>Government focus on food sovereignty</w:t>
        </w:r>
        <w:r w:rsidRPr="003859B6">
          <w:rPr>
            <w:noProof/>
          </w:rPr>
          <w:tab/>
        </w:r>
        <w:r w:rsidRPr="003859B6">
          <w:rPr>
            <w:noProof/>
          </w:rPr>
          <w:fldChar w:fldCharType="begin"/>
        </w:r>
        <w:r w:rsidRPr="003859B6">
          <w:rPr>
            <w:noProof/>
          </w:rPr>
          <w:instrText xml:space="preserve"> PAGEREF _Toc474487627 \h </w:instrText>
        </w:r>
        <w:r w:rsidRPr="003859B6">
          <w:rPr>
            <w:noProof/>
          </w:rPr>
        </w:r>
        <w:r w:rsidRPr="003859B6">
          <w:rPr>
            <w:noProof/>
          </w:rPr>
          <w:fldChar w:fldCharType="separate"/>
        </w:r>
        <w:r w:rsidRPr="003859B6">
          <w:rPr>
            <w:noProof/>
          </w:rPr>
          <w:t>13</w:t>
        </w:r>
        <w:r w:rsidRPr="003859B6">
          <w:rPr>
            <w:noProof/>
          </w:rPr>
          <w:fldChar w:fldCharType="end"/>
        </w:r>
      </w:hyperlink>
    </w:p>
    <w:p w:rsidR="003374B9" w:rsidRPr="003859B6" w:rsidRDefault="003374B9">
      <w:pPr>
        <w:pStyle w:val="TOC2"/>
        <w:rPr>
          <w:rFonts w:asciiTheme="minorHAnsi" w:eastAsiaTheme="minorEastAsia" w:hAnsiTheme="minorHAnsi" w:cstheme="minorBidi"/>
          <w:noProof/>
          <w:lang w:eastAsia="en-GB"/>
        </w:rPr>
      </w:pPr>
      <w:hyperlink w:anchor="_Toc474487628" w:history="1">
        <w:r w:rsidRPr="003859B6">
          <w:rPr>
            <w:rStyle w:val="Hyperlink"/>
            <w:noProof/>
          </w:rPr>
          <w:t>2. Sustainable management of natural resources for future food security</w:t>
        </w:r>
        <w:r w:rsidRPr="003859B6">
          <w:rPr>
            <w:noProof/>
          </w:rPr>
          <w:tab/>
        </w:r>
        <w:r w:rsidRPr="003859B6">
          <w:rPr>
            <w:noProof/>
          </w:rPr>
          <w:fldChar w:fldCharType="begin"/>
        </w:r>
        <w:r w:rsidRPr="003859B6">
          <w:rPr>
            <w:noProof/>
          </w:rPr>
          <w:instrText xml:space="preserve"> PAGEREF _Toc474487628 \h </w:instrText>
        </w:r>
        <w:r w:rsidRPr="003859B6">
          <w:rPr>
            <w:noProof/>
          </w:rPr>
        </w:r>
        <w:r w:rsidRPr="003859B6">
          <w:rPr>
            <w:noProof/>
          </w:rPr>
          <w:fldChar w:fldCharType="separate"/>
        </w:r>
        <w:r w:rsidRPr="003859B6">
          <w:rPr>
            <w:noProof/>
          </w:rPr>
          <w:t>14</w:t>
        </w:r>
        <w:r w:rsidRPr="003859B6">
          <w:rPr>
            <w:noProof/>
          </w:rPr>
          <w:fldChar w:fldCharType="end"/>
        </w:r>
      </w:hyperlink>
    </w:p>
    <w:p w:rsidR="003374B9" w:rsidRPr="003859B6" w:rsidRDefault="003374B9">
      <w:pPr>
        <w:pStyle w:val="TOC3"/>
        <w:rPr>
          <w:rFonts w:asciiTheme="minorHAnsi" w:eastAsiaTheme="minorEastAsia" w:hAnsiTheme="minorHAnsi" w:cstheme="minorBidi"/>
          <w:noProof/>
          <w:lang w:eastAsia="en-GB"/>
        </w:rPr>
      </w:pPr>
      <w:hyperlink w:anchor="_Toc474487629" w:history="1">
        <w:r w:rsidRPr="003859B6">
          <w:rPr>
            <w:rStyle w:val="Hyperlink"/>
            <w:noProof/>
          </w:rPr>
          <w:t>Environmental impact of seafood production</w:t>
        </w:r>
        <w:r w:rsidRPr="003859B6">
          <w:rPr>
            <w:noProof/>
          </w:rPr>
          <w:tab/>
        </w:r>
        <w:r w:rsidRPr="003859B6">
          <w:rPr>
            <w:noProof/>
          </w:rPr>
          <w:fldChar w:fldCharType="begin"/>
        </w:r>
        <w:r w:rsidRPr="003859B6">
          <w:rPr>
            <w:noProof/>
          </w:rPr>
          <w:instrText xml:space="preserve"> PAGEREF _Toc474487629 \h </w:instrText>
        </w:r>
        <w:r w:rsidRPr="003859B6">
          <w:rPr>
            <w:noProof/>
          </w:rPr>
        </w:r>
        <w:r w:rsidRPr="003859B6">
          <w:rPr>
            <w:noProof/>
          </w:rPr>
          <w:fldChar w:fldCharType="separate"/>
        </w:r>
        <w:r w:rsidRPr="003859B6">
          <w:rPr>
            <w:noProof/>
          </w:rPr>
          <w:t>15</w:t>
        </w:r>
        <w:r w:rsidRPr="003859B6">
          <w:rPr>
            <w:noProof/>
          </w:rPr>
          <w:fldChar w:fldCharType="end"/>
        </w:r>
      </w:hyperlink>
    </w:p>
    <w:p w:rsidR="003374B9" w:rsidRPr="003859B6" w:rsidRDefault="003374B9">
      <w:pPr>
        <w:pStyle w:val="TOC3"/>
        <w:rPr>
          <w:rFonts w:asciiTheme="minorHAnsi" w:eastAsiaTheme="minorEastAsia" w:hAnsiTheme="minorHAnsi" w:cstheme="minorBidi"/>
          <w:noProof/>
          <w:lang w:eastAsia="en-GB"/>
        </w:rPr>
      </w:pPr>
      <w:hyperlink w:anchor="_Toc474487630" w:history="1">
        <w:r w:rsidRPr="003859B6">
          <w:rPr>
            <w:rStyle w:val="Hyperlink"/>
            <w:noProof/>
          </w:rPr>
          <w:t>Policies against illegal fishing</w:t>
        </w:r>
        <w:r w:rsidRPr="003859B6">
          <w:rPr>
            <w:noProof/>
          </w:rPr>
          <w:tab/>
        </w:r>
        <w:r w:rsidRPr="003859B6">
          <w:rPr>
            <w:noProof/>
          </w:rPr>
          <w:fldChar w:fldCharType="begin"/>
        </w:r>
        <w:r w:rsidRPr="003859B6">
          <w:rPr>
            <w:noProof/>
          </w:rPr>
          <w:instrText xml:space="preserve"> PAGEREF _Toc474487630 \h </w:instrText>
        </w:r>
        <w:r w:rsidRPr="003859B6">
          <w:rPr>
            <w:noProof/>
          </w:rPr>
        </w:r>
        <w:r w:rsidRPr="003859B6">
          <w:rPr>
            <w:noProof/>
          </w:rPr>
          <w:fldChar w:fldCharType="separate"/>
        </w:r>
        <w:r w:rsidRPr="003859B6">
          <w:rPr>
            <w:noProof/>
          </w:rPr>
          <w:t>17</w:t>
        </w:r>
        <w:r w:rsidRPr="003859B6">
          <w:rPr>
            <w:noProof/>
          </w:rPr>
          <w:fldChar w:fldCharType="end"/>
        </w:r>
      </w:hyperlink>
    </w:p>
    <w:p w:rsidR="003374B9" w:rsidRPr="003859B6" w:rsidRDefault="003374B9">
      <w:pPr>
        <w:pStyle w:val="TOC3"/>
        <w:rPr>
          <w:rFonts w:asciiTheme="minorHAnsi" w:eastAsiaTheme="minorEastAsia" w:hAnsiTheme="minorHAnsi" w:cstheme="minorBidi"/>
          <w:noProof/>
          <w:lang w:eastAsia="en-GB"/>
        </w:rPr>
      </w:pPr>
      <w:hyperlink w:anchor="_Toc474487631" w:history="1">
        <w:r w:rsidRPr="003859B6">
          <w:rPr>
            <w:rStyle w:val="Hyperlink"/>
            <w:noProof/>
          </w:rPr>
          <w:t>Strengthening domestic fisheries management</w:t>
        </w:r>
        <w:r w:rsidRPr="003859B6">
          <w:rPr>
            <w:noProof/>
          </w:rPr>
          <w:tab/>
        </w:r>
        <w:r w:rsidRPr="003859B6">
          <w:rPr>
            <w:noProof/>
          </w:rPr>
          <w:fldChar w:fldCharType="begin"/>
        </w:r>
        <w:r w:rsidRPr="003859B6">
          <w:rPr>
            <w:noProof/>
          </w:rPr>
          <w:instrText xml:space="preserve"> PAGEREF _Toc474487631 \h </w:instrText>
        </w:r>
        <w:r w:rsidRPr="003859B6">
          <w:rPr>
            <w:noProof/>
          </w:rPr>
        </w:r>
        <w:r w:rsidRPr="003859B6">
          <w:rPr>
            <w:noProof/>
          </w:rPr>
          <w:fldChar w:fldCharType="separate"/>
        </w:r>
        <w:r w:rsidRPr="003859B6">
          <w:rPr>
            <w:noProof/>
          </w:rPr>
          <w:t>19</w:t>
        </w:r>
        <w:r w:rsidRPr="003859B6">
          <w:rPr>
            <w:noProof/>
          </w:rPr>
          <w:fldChar w:fldCharType="end"/>
        </w:r>
      </w:hyperlink>
    </w:p>
    <w:p w:rsidR="003374B9" w:rsidRPr="003859B6" w:rsidRDefault="003374B9">
      <w:pPr>
        <w:pStyle w:val="TOC3"/>
        <w:rPr>
          <w:rFonts w:asciiTheme="minorHAnsi" w:eastAsiaTheme="minorEastAsia" w:hAnsiTheme="minorHAnsi" w:cstheme="minorBidi"/>
          <w:noProof/>
          <w:lang w:eastAsia="en-GB"/>
        </w:rPr>
      </w:pPr>
      <w:hyperlink w:anchor="_Toc474487632" w:history="1">
        <w:r w:rsidRPr="003859B6">
          <w:rPr>
            <w:rStyle w:val="Hyperlink"/>
            <w:noProof/>
          </w:rPr>
          <w:t>Towards more sustainable aquaculture production</w:t>
        </w:r>
        <w:r w:rsidRPr="003859B6">
          <w:rPr>
            <w:noProof/>
          </w:rPr>
          <w:tab/>
        </w:r>
        <w:r w:rsidRPr="003859B6">
          <w:rPr>
            <w:noProof/>
          </w:rPr>
          <w:fldChar w:fldCharType="begin"/>
        </w:r>
        <w:r w:rsidRPr="003859B6">
          <w:rPr>
            <w:noProof/>
          </w:rPr>
          <w:instrText xml:space="preserve"> PAGEREF _Toc474487632 \h </w:instrText>
        </w:r>
        <w:r w:rsidRPr="003859B6">
          <w:rPr>
            <w:noProof/>
          </w:rPr>
        </w:r>
        <w:r w:rsidRPr="003859B6">
          <w:rPr>
            <w:noProof/>
          </w:rPr>
          <w:fldChar w:fldCharType="separate"/>
        </w:r>
        <w:r w:rsidRPr="003859B6">
          <w:rPr>
            <w:noProof/>
          </w:rPr>
          <w:t>22</w:t>
        </w:r>
        <w:r w:rsidRPr="003859B6">
          <w:rPr>
            <w:noProof/>
          </w:rPr>
          <w:fldChar w:fldCharType="end"/>
        </w:r>
      </w:hyperlink>
    </w:p>
    <w:p w:rsidR="003374B9" w:rsidRPr="003859B6" w:rsidRDefault="003374B9">
      <w:pPr>
        <w:pStyle w:val="TOC3"/>
        <w:rPr>
          <w:rFonts w:asciiTheme="minorHAnsi" w:eastAsiaTheme="minorEastAsia" w:hAnsiTheme="minorHAnsi" w:cstheme="minorBidi"/>
          <w:noProof/>
          <w:lang w:eastAsia="en-GB"/>
        </w:rPr>
      </w:pPr>
      <w:hyperlink w:anchor="_Toc474487633" w:history="1">
        <w:r w:rsidRPr="003859B6">
          <w:rPr>
            <w:rStyle w:val="Hyperlink"/>
            <w:noProof/>
          </w:rPr>
          <w:t>Vulnerability to climate change</w:t>
        </w:r>
        <w:r w:rsidRPr="003859B6">
          <w:rPr>
            <w:noProof/>
          </w:rPr>
          <w:tab/>
        </w:r>
        <w:r w:rsidRPr="003859B6">
          <w:rPr>
            <w:noProof/>
          </w:rPr>
          <w:fldChar w:fldCharType="begin"/>
        </w:r>
        <w:r w:rsidRPr="003859B6">
          <w:rPr>
            <w:noProof/>
          </w:rPr>
          <w:instrText xml:space="preserve"> PAGEREF _Toc474487633 \h </w:instrText>
        </w:r>
        <w:r w:rsidRPr="003859B6">
          <w:rPr>
            <w:noProof/>
          </w:rPr>
        </w:r>
        <w:r w:rsidRPr="003859B6">
          <w:rPr>
            <w:noProof/>
          </w:rPr>
          <w:fldChar w:fldCharType="separate"/>
        </w:r>
        <w:r w:rsidRPr="003859B6">
          <w:rPr>
            <w:noProof/>
          </w:rPr>
          <w:t>25</w:t>
        </w:r>
        <w:r w:rsidRPr="003859B6">
          <w:rPr>
            <w:noProof/>
          </w:rPr>
          <w:fldChar w:fldCharType="end"/>
        </w:r>
      </w:hyperlink>
    </w:p>
    <w:p w:rsidR="003374B9" w:rsidRPr="003859B6" w:rsidRDefault="003374B9">
      <w:pPr>
        <w:pStyle w:val="TOC2"/>
        <w:rPr>
          <w:rFonts w:asciiTheme="minorHAnsi" w:eastAsiaTheme="minorEastAsia" w:hAnsiTheme="minorHAnsi" w:cstheme="minorBidi"/>
          <w:noProof/>
          <w:lang w:eastAsia="en-GB"/>
        </w:rPr>
      </w:pPr>
      <w:hyperlink w:anchor="_Toc474487634" w:history="1">
        <w:r w:rsidRPr="003859B6">
          <w:rPr>
            <w:rStyle w:val="Hyperlink"/>
            <w:noProof/>
          </w:rPr>
          <w:t>3. Increasing the incomes of fishers and aqua-farmers while improving consumer access to seafood</w:t>
        </w:r>
        <w:r w:rsidRPr="003859B6">
          <w:rPr>
            <w:noProof/>
          </w:rPr>
          <w:tab/>
        </w:r>
        <w:r w:rsidRPr="003859B6">
          <w:rPr>
            <w:noProof/>
          </w:rPr>
          <w:fldChar w:fldCharType="begin"/>
        </w:r>
        <w:r w:rsidRPr="003859B6">
          <w:rPr>
            <w:noProof/>
          </w:rPr>
          <w:instrText xml:space="preserve"> PAGEREF _Toc474487634 \h </w:instrText>
        </w:r>
        <w:r w:rsidRPr="003859B6">
          <w:rPr>
            <w:noProof/>
          </w:rPr>
        </w:r>
        <w:r w:rsidRPr="003859B6">
          <w:rPr>
            <w:noProof/>
          </w:rPr>
          <w:fldChar w:fldCharType="separate"/>
        </w:r>
        <w:r w:rsidRPr="003859B6">
          <w:rPr>
            <w:noProof/>
          </w:rPr>
          <w:t>26</w:t>
        </w:r>
        <w:r w:rsidRPr="003859B6">
          <w:rPr>
            <w:noProof/>
          </w:rPr>
          <w:fldChar w:fldCharType="end"/>
        </w:r>
      </w:hyperlink>
    </w:p>
    <w:p w:rsidR="003374B9" w:rsidRPr="003859B6" w:rsidRDefault="003374B9">
      <w:pPr>
        <w:pStyle w:val="TOC3"/>
        <w:rPr>
          <w:rFonts w:asciiTheme="minorHAnsi" w:eastAsiaTheme="minorEastAsia" w:hAnsiTheme="minorHAnsi" w:cstheme="minorBidi"/>
          <w:noProof/>
          <w:lang w:eastAsia="en-GB"/>
        </w:rPr>
      </w:pPr>
      <w:hyperlink w:anchor="_Toc474487635" w:history="1">
        <w:r w:rsidRPr="003859B6">
          <w:rPr>
            <w:rStyle w:val="Hyperlink"/>
            <w:noProof/>
          </w:rPr>
          <w:t>Direct support: The need for decoupling</w:t>
        </w:r>
        <w:r w:rsidRPr="003859B6">
          <w:rPr>
            <w:noProof/>
          </w:rPr>
          <w:tab/>
        </w:r>
        <w:r w:rsidRPr="003859B6">
          <w:rPr>
            <w:noProof/>
          </w:rPr>
          <w:fldChar w:fldCharType="begin"/>
        </w:r>
        <w:r w:rsidRPr="003859B6">
          <w:rPr>
            <w:noProof/>
          </w:rPr>
          <w:instrText xml:space="preserve"> PAGEREF _Toc474487635 \h </w:instrText>
        </w:r>
        <w:r w:rsidRPr="003859B6">
          <w:rPr>
            <w:noProof/>
          </w:rPr>
        </w:r>
        <w:r w:rsidRPr="003859B6">
          <w:rPr>
            <w:noProof/>
          </w:rPr>
          <w:fldChar w:fldCharType="separate"/>
        </w:r>
        <w:r w:rsidRPr="003859B6">
          <w:rPr>
            <w:noProof/>
          </w:rPr>
          <w:t>26</w:t>
        </w:r>
        <w:r w:rsidRPr="003859B6">
          <w:rPr>
            <w:noProof/>
          </w:rPr>
          <w:fldChar w:fldCharType="end"/>
        </w:r>
      </w:hyperlink>
    </w:p>
    <w:p w:rsidR="003374B9" w:rsidRPr="003859B6" w:rsidRDefault="003374B9">
      <w:pPr>
        <w:pStyle w:val="TOC3"/>
        <w:rPr>
          <w:rFonts w:asciiTheme="minorHAnsi" w:eastAsiaTheme="minorEastAsia" w:hAnsiTheme="minorHAnsi" w:cstheme="minorBidi"/>
          <w:noProof/>
          <w:lang w:eastAsia="en-GB"/>
        </w:rPr>
      </w:pPr>
      <w:hyperlink w:anchor="_Toc474487636" w:history="1">
        <w:r w:rsidRPr="003859B6">
          <w:rPr>
            <w:rStyle w:val="Hyperlink"/>
            <w:noProof/>
          </w:rPr>
          <w:t>Sustainable resource management for stable income growth</w:t>
        </w:r>
        <w:r w:rsidRPr="003859B6">
          <w:rPr>
            <w:noProof/>
          </w:rPr>
          <w:tab/>
        </w:r>
        <w:r w:rsidRPr="003859B6">
          <w:rPr>
            <w:noProof/>
          </w:rPr>
          <w:fldChar w:fldCharType="begin"/>
        </w:r>
        <w:r w:rsidRPr="003859B6">
          <w:rPr>
            <w:noProof/>
          </w:rPr>
          <w:instrText xml:space="preserve"> PAGEREF _Toc474487636 \h </w:instrText>
        </w:r>
        <w:r w:rsidRPr="003859B6">
          <w:rPr>
            <w:noProof/>
          </w:rPr>
        </w:r>
        <w:r w:rsidRPr="003859B6">
          <w:rPr>
            <w:noProof/>
          </w:rPr>
          <w:fldChar w:fldCharType="separate"/>
        </w:r>
        <w:r w:rsidRPr="003859B6">
          <w:rPr>
            <w:noProof/>
          </w:rPr>
          <w:t>28</w:t>
        </w:r>
        <w:r w:rsidRPr="003859B6">
          <w:rPr>
            <w:noProof/>
          </w:rPr>
          <w:fldChar w:fldCharType="end"/>
        </w:r>
      </w:hyperlink>
    </w:p>
    <w:p w:rsidR="003374B9" w:rsidRPr="003859B6" w:rsidRDefault="003374B9">
      <w:pPr>
        <w:pStyle w:val="TOC3"/>
        <w:rPr>
          <w:rFonts w:asciiTheme="minorHAnsi" w:eastAsiaTheme="minorEastAsia" w:hAnsiTheme="minorHAnsi" w:cstheme="minorBidi"/>
          <w:noProof/>
          <w:lang w:eastAsia="en-GB"/>
        </w:rPr>
      </w:pPr>
      <w:hyperlink w:anchor="_Toc474487637" w:history="1">
        <w:r w:rsidRPr="003859B6">
          <w:rPr>
            <w:rStyle w:val="Hyperlink"/>
            <w:noProof/>
          </w:rPr>
          <w:t>Facilitating public support for infrastructure and R&amp;D</w:t>
        </w:r>
        <w:r w:rsidRPr="003859B6">
          <w:rPr>
            <w:noProof/>
          </w:rPr>
          <w:tab/>
        </w:r>
        <w:r w:rsidRPr="003859B6">
          <w:rPr>
            <w:noProof/>
          </w:rPr>
          <w:fldChar w:fldCharType="begin"/>
        </w:r>
        <w:r w:rsidRPr="003859B6">
          <w:rPr>
            <w:noProof/>
          </w:rPr>
          <w:instrText xml:space="preserve"> PAGEREF _Toc474487637 \h </w:instrText>
        </w:r>
        <w:r w:rsidRPr="003859B6">
          <w:rPr>
            <w:noProof/>
          </w:rPr>
        </w:r>
        <w:r w:rsidRPr="003859B6">
          <w:rPr>
            <w:noProof/>
          </w:rPr>
          <w:fldChar w:fldCharType="separate"/>
        </w:r>
        <w:r w:rsidRPr="003859B6">
          <w:rPr>
            <w:noProof/>
          </w:rPr>
          <w:t>30</w:t>
        </w:r>
        <w:r w:rsidRPr="003859B6">
          <w:rPr>
            <w:noProof/>
          </w:rPr>
          <w:fldChar w:fldCharType="end"/>
        </w:r>
      </w:hyperlink>
    </w:p>
    <w:p w:rsidR="003374B9" w:rsidRPr="003859B6" w:rsidRDefault="003374B9">
      <w:pPr>
        <w:pStyle w:val="TOC3"/>
        <w:rPr>
          <w:rFonts w:asciiTheme="minorHAnsi" w:eastAsiaTheme="minorEastAsia" w:hAnsiTheme="minorHAnsi" w:cstheme="minorBidi"/>
          <w:noProof/>
          <w:lang w:eastAsia="en-GB"/>
        </w:rPr>
      </w:pPr>
      <w:hyperlink w:anchor="_Toc474487638" w:history="1">
        <w:r w:rsidRPr="003859B6">
          <w:rPr>
            <w:rStyle w:val="Hyperlink"/>
            <w:noProof/>
          </w:rPr>
          <w:t>Trade and foreign investment restrictions: Support at the cost of higher prices for consumers</w:t>
        </w:r>
        <w:r w:rsidRPr="003859B6">
          <w:rPr>
            <w:noProof/>
          </w:rPr>
          <w:tab/>
        </w:r>
        <w:r w:rsidRPr="003859B6">
          <w:rPr>
            <w:noProof/>
          </w:rPr>
          <w:fldChar w:fldCharType="begin"/>
        </w:r>
        <w:r w:rsidRPr="003859B6">
          <w:rPr>
            <w:noProof/>
          </w:rPr>
          <w:instrText xml:space="preserve"> PAGEREF _Toc474487638 \h </w:instrText>
        </w:r>
        <w:r w:rsidRPr="003859B6">
          <w:rPr>
            <w:noProof/>
          </w:rPr>
        </w:r>
        <w:r w:rsidRPr="003859B6">
          <w:rPr>
            <w:noProof/>
          </w:rPr>
          <w:fldChar w:fldCharType="separate"/>
        </w:r>
        <w:r w:rsidRPr="003859B6">
          <w:rPr>
            <w:noProof/>
          </w:rPr>
          <w:t>32</w:t>
        </w:r>
        <w:r w:rsidRPr="003859B6">
          <w:rPr>
            <w:noProof/>
          </w:rPr>
          <w:fldChar w:fldCharType="end"/>
        </w:r>
      </w:hyperlink>
    </w:p>
    <w:p w:rsidR="003374B9" w:rsidRPr="003859B6" w:rsidRDefault="003374B9">
      <w:pPr>
        <w:pStyle w:val="TOC2"/>
        <w:rPr>
          <w:rFonts w:asciiTheme="minorHAnsi" w:eastAsiaTheme="minorEastAsia" w:hAnsiTheme="minorHAnsi" w:cstheme="minorBidi"/>
          <w:noProof/>
          <w:lang w:eastAsia="en-GB"/>
        </w:rPr>
      </w:pPr>
      <w:hyperlink w:anchor="_Toc474487639" w:history="1">
        <w:r w:rsidRPr="003859B6">
          <w:rPr>
            <w:rStyle w:val="Hyperlink"/>
            <w:noProof/>
          </w:rPr>
          <w:t xml:space="preserve">4. The way forward: From food </w:t>
        </w:r>
        <w:r w:rsidRPr="003859B6">
          <w:rPr>
            <w:rStyle w:val="Hyperlink"/>
            <w:i/>
            <w:noProof/>
          </w:rPr>
          <w:t>sovereignty</w:t>
        </w:r>
        <w:r w:rsidRPr="003859B6">
          <w:rPr>
            <w:rStyle w:val="Hyperlink"/>
            <w:noProof/>
          </w:rPr>
          <w:t xml:space="preserve"> to food </w:t>
        </w:r>
        <w:r w:rsidRPr="003859B6">
          <w:rPr>
            <w:rStyle w:val="Hyperlink"/>
            <w:i/>
            <w:noProof/>
          </w:rPr>
          <w:t>security</w:t>
        </w:r>
        <w:r w:rsidRPr="003859B6">
          <w:rPr>
            <w:noProof/>
          </w:rPr>
          <w:tab/>
        </w:r>
        <w:r w:rsidRPr="003859B6">
          <w:rPr>
            <w:noProof/>
          </w:rPr>
          <w:fldChar w:fldCharType="begin"/>
        </w:r>
        <w:r w:rsidRPr="003859B6">
          <w:rPr>
            <w:noProof/>
          </w:rPr>
          <w:instrText xml:space="preserve"> PAGEREF _Toc474487639 \h </w:instrText>
        </w:r>
        <w:r w:rsidRPr="003859B6">
          <w:rPr>
            <w:noProof/>
          </w:rPr>
        </w:r>
        <w:r w:rsidRPr="003859B6">
          <w:rPr>
            <w:noProof/>
          </w:rPr>
          <w:fldChar w:fldCharType="separate"/>
        </w:r>
        <w:r w:rsidRPr="003859B6">
          <w:rPr>
            <w:noProof/>
          </w:rPr>
          <w:t>33</w:t>
        </w:r>
        <w:r w:rsidRPr="003859B6">
          <w:rPr>
            <w:noProof/>
          </w:rPr>
          <w:fldChar w:fldCharType="end"/>
        </w:r>
      </w:hyperlink>
    </w:p>
    <w:p w:rsidR="00CE49F0" w:rsidRPr="003859B6" w:rsidRDefault="00CE49F0">
      <w:pPr>
        <w:rPr>
          <w:b/>
          <w:noProof/>
        </w:rPr>
      </w:pPr>
      <w:r w:rsidRPr="003859B6">
        <w:rPr>
          <w:b/>
          <w:noProof/>
        </w:rPr>
        <w:fldChar w:fldCharType="end"/>
      </w:r>
    </w:p>
    <w:p w:rsidR="00CE49F0" w:rsidRPr="003859B6" w:rsidRDefault="00CE49F0">
      <w:pPr>
        <w:keepNext/>
        <w:spacing w:after="240"/>
        <w:rPr>
          <w:b/>
          <w:noProof/>
        </w:rPr>
      </w:pPr>
      <w:r w:rsidRPr="003859B6">
        <w:rPr>
          <w:b/>
          <w:noProof/>
        </w:rPr>
        <w:t>Tables</w:t>
      </w:r>
    </w:p>
    <w:p w:rsidR="009349E6" w:rsidRPr="003859B6" w:rsidRDefault="00CE49F0">
      <w:pPr>
        <w:pStyle w:val="TOC2"/>
        <w:rPr>
          <w:rFonts w:asciiTheme="minorHAnsi" w:eastAsiaTheme="minorEastAsia" w:hAnsiTheme="minorHAnsi" w:cstheme="minorBidi"/>
          <w:noProof/>
          <w:lang w:eastAsia="en-GB"/>
        </w:rPr>
      </w:pPr>
      <w:r w:rsidRPr="003859B6">
        <w:rPr>
          <w:b/>
          <w:noProof/>
        </w:rPr>
        <w:fldChar w:fldCharType="begin"/>
      </w:r>
      <w:r w:rsidRPr="003859B6">
        <w:rPr>
          <w:b/>
          <w:noProof/>
        </w:rPr>
        <w:instrText xml:space="preserve"> TOC \f t \h</w:instrText>
      </w:r>
      <w:r w:rsidRPr="003859B6">
        <w:rPr>
          <w:b/>
          <w:noProof/>
        </w:rPr>
        <w:fldChar w:fldCharType="separate"/>
      </w:r>
      <w:hyperlink w:anchor="_Toc473275089" w:history="1">
        <w:r w:rsidR="009349E6" w:rsidRPr="003859B6">
          <w:rPr>
            <w:rStyle w:val="Hyperlink"/>
            <w:noProof/>
          </w:rPr>
          <w:t>Table 1. Status of fisheries resources by major species category and Fishery Management Area (WPP), 2016</w:t>
        </w:r>
        <w:r w:rsidR="009349E6" w:rsidRPr="003859B6">
          <w:rPr>
            <w:noProof/>
          </w:rPr>
          <w:tab/>
        </w:r>
        <w:r w:rsidR="009349E6" w:rsidRPr="003859B6">
          <w:rPr>
            <w:noProof/>
          </w:rPr>
          <w:fldChar w:fldCharType="begin"/>
        </w:r>
        <w:r w:rsidR="009349E6" w:rsidRPr="003859B6">
          <w:rPr>
            <w:noProof/>
          </w:rPr>
          <w:instrText xml:space="preserve"> PAGEREF _Toc473275089 \h </w:instrText>
        </w:r>
        <w:r w:rsidR="009349E6" w:rsidRPr="003859B6">
          <w:rPr>
            <w:noProof/>
          </w:rPr>
        </w:r>
        <w:r w:rsidR="009349E6" w:rsidRPr="003859B6">
          <w:rPr>
            <w:noProof/>
          </w:rPr>
          <w:fldChar w:fldCharType="separate"/>
        </w:r>
        <w:r w:rsidR="009358E8" w:rsidRPr="003859B6">
          <w:rPr>
            <w:noProof/>
          </w:rPr>
          <w:t>15</w:t>
        </w:r>
        <w:r w:rsidR="009349E6" w:rsidRPr="003859B6">
          <w:rPr>
            <w:noProof/>
          </w:rPr>
          <w:fldChar w:fldCharType="end"/>
        </w:r>
      </w:hyperlink>
    </w:p>
    <w:p w:rsidR="00CE49F0" w:rsidRPr="003859B6" w:rsidRDefault="00CE49F0">
      <w:pPr>
        <w:rPr>
          <w:b/>
          <w:noProof/>
        </w:rPr>
      </w:pPr>
      <w:r w:rsidRPr="003859B6">
        <w:rPr>
          <w:b/>
          <w:noProof/>
        </w:rPr>
        <w:fldChar w:fldCharType="end"/>
      </w:r>
    </w:p>
    <w:p w:rsidR="00CE49F0" w:rsidRPr="003859B6" w:rsidRDefault="00CE49F0">
      <w:pPr>
        <w:keepNext/>
        <w:spacing w:after="240"/>
        <w:rPr>
          <w:b/>
          <w:noProof/>
        </w:rPr>
      </w:pPr>
      <w:r w:rsidRPr="003859B6">
        <w:rPr>
          <w:b/>
          <w:noProof/>
        </w:rPr>
        <w:t>Figures</w:t>
      </w:r>
    </w:p>
    <w:p w:rsidR="008E2217" w:rsidRPr="003859B6" w:rsidRDefault="00CE49F0">
      <w:pPr>
        <w:pStyle w:val="TOC2"/>
        <w:rPr>
          <w:rFonts w:asciiTheme="minorHAnsi" w:eastAsiaTheme="minorEastAsia" w:hAnsiTheme="minorHAnsi" w:cstheme="minorBidi"/>
          <w:noProof/>
          <w:lang w:eastAsia="en-GB"/>
        </w:rPr>
      </w:pPr>
      <w:r w:rsidRPr="003859B6">
        <w:rPr>
          <w:b/>
          <w:noProof/>
        </w:rPr>
        <w:fldChar w:fldCharType="begin"/>
      </w:r>
      <w:r w:rsidRPr="003859B6">
        <w:rPr>
          <w:b/>
          <w:noProof/>
        </w:rPr>
        <w:instrText xml:space="preserve"> TOC \f f \h</w:instrText>
      </w:r>
      <w:r w:rsidRPr="003859B6">
        <w:rPr>
          <w:b/>
          <w:noProof/>
        </w:rPr>
        <w:fldChar w:fldCharType="separate"/>
      </w:r>
      <w:hyperlink w:anchor="_Toc473280378" w:history="1">
        <w:r w:rsidR="008E2217" w:rsidRPr="003859B6">
          <w:rPr>
            <w:rStyle w:val="Hyperlink"/>
            <w:noProof/>
          </w:rPr>
          <w:t>Figure 1. Selected food insecurity indicators in Indonesia, 1991-2025 (projection)</w:t>
        </w:r>
        <w:r w:rsidR="008E2217" w:rsidRPr="003859B6">
          <w:rPr>
            <w:noProof/>
          </w:rPr>
          <w:tab/>
        </w:r>
        <w:r w:rsidR="008E2217" w:rsidRPr="003859B6">
          <w:rPr>
            <w:noProof/>
          </w:rPr>
          <w:fldChar w:fldCharType="begin"/>
        </w:r>
        <w:r w:rsidR="008E2217" w:rsidRPr="003859B6">
          <w:rPr>
            <w:noProof/>
          </w:rPr>
          <w:instrText xml:space="preserve"> PAGEREF _Toc473280378 \h </w:instrText>
        </w:r>
        <w:r w:rsidR="008E2217" w:rsidRPr="003859B6">
          <w:rPr>
            <w:noProof/>
          </w:rPr>
        </w:r>
        <w:r w:rsidR="008E2217" w:rsidRPr="003859B6">
          <w:rPr>
            <w:noProof/>
          </w:rPr>
          <w:fldChar w:fldCharType="separate"/>
        </w:r>
        <w:r w:rsidR="009358E8" w:rsidRPr="003859B6">
          <w:rPr>
            <w:noProof/>
          </w:rPr>
          <w:t>7</w:t>
        </w:r>
        <w:r w:rsidR="008E2217" w:rsidRPr="003859B6">
          <w:rPr>
            <w:noProof/>
          </w:rPr>
          <w:fldChar w:fldCharType="end"/>
        </w:r>
      </w:hyperlink>
    </w:p>
    <w:p w:rsidR="008E2217" w:rsidRPr="003859B6" w:rsidRDefault="00D3005E">
      <w:pPr>
        <w:pStyle w:val="TOC2"/>
        <w:rPr>
          <w:rFonts w:asciiTheme="minorHAnsi" w:eastAsiaTheme="minorEastAsia" w:hAnsiTheme="minorHAnsi" w:cstheme="minorBidi"/>
          <w:noProof/>
          <w:lang w:eastAsia="en-GB"/>
        </w:rPr>
      </w:pPr>
      <w:hyperlink w:anchor="_Toc473280379" w:history="1">
        <w:r w:rsidR="008E2217" w:rsidRPr="003859B6">
          <w:rPr>
            <w:rStyle w:val="Hyperlink"/>
            <w:noProof/>
          </w:rPr>
          <w:t>Figure 3 Fisheries and Aquaculture production, 1950-2014</w:t>
        </w:r>
        <w:r w:rsidR="008E2217" w:rsidRPr="003859B6">
          <w:rPr>
            <w:noProof/>
          </w:rPr>
          <w:tab/>
        </w:r>
        <w:r w:rsidR="008E2217" w:rsidRPr="003859B6">
          <w:rPr>
            <w:noProof/>
          </w:rPr>
          <w:fldChar w:fldCharType="begin"/>
        </w:r>
        <w:r w:rsidR="008E2217" w:rsidRPr="003859B6">
          <w:rPr>
            <w:noProof/>
          </w:rPr>
          <w:instrText xml:space="preserve"> PAGEREF _Toc473280379 \h </w:instrText>
        </w:r>
        <w:r w:rsidR="008E2217" w:rsidRPr="003859B6">
          <w:rPr>
            <w:noProof/>
          </w:rPr>
        </w:r>
        <w:r w:rsidR="008E2217" w:rsidRPr="003859B6">
          <w:rPr>
            <w:noProof/>
          </w:rPr>
          <w:fldChar w:fldCharType="separate"/>
        </w:r>
        <w:r w:rsidR="009358E8" w:rsidRPr="003859B6">
          <w:rPr>
            <w:noProof/>
          </w:rPr>
          <w:t>9</w:t>
        </w:r>
        <w:r w:rsidR="008E2217" w:rsidRPr="003859B6">
          <w:rPr>
            <w:noProof/>
          </w:rPr>
          <w:fldChar w:fldCharType="end"/>
        </w:r>
      </w:hyperlink>
    </w:p>
    <w:p w:rsidR="008E2217" w:rsidRPr="003859B6" w:rsidRDefault="00D3005E">
      <w:pPr>
        <w:pStyle w:val="TOC2"/>
        <w:rPr>
          <w:rFonts w:asciiTheme="minorHAnsi" w:eastAsiaTheme="minorEastAsia" w:hAnsiTheme="minorHAnsi" w:cstheme="minorBidi"/>
          <w:noProof/>
          <w:lang w:eastAsia="en-GB"/>
        </w:rPr>
      </w:pPr>
      <w:hyperlink w:anchor="_Toc473280380" w:history="1">
        <w:r w:rsidR="008E2217" w:rsidRPr="003859B6">
          <w:rPr>
            <w:rStyle w:val="Hyperlink"/>
            <w:noProof/>
          </w:rPr>
          <w:t>Figure 3 Composition of capture fisheries by main species (2014)</w:t>
        </w:r>
        <w:r w:rsidR="008E2217" w:rsidRPr="003859B6">
          <w:rPr>
            <w:noProof/>
          </w:rPr>
          <w:tab/>
        </w:r>
        <w:r w:rsidR="008E2217" w:rsidRPr="003859B6">
          <w:rPr>
            <w:noProof/>
          </w:rPr>
          <w:fldChar w:fldCharType="begin"/>
        </w:r>
        <w:r w:rsidR="008E2217" w:rsidRPr="003859B6">
          <w:rPr>
            <w:noProof/>
          </w:rPr>
          <w:instrText xml:space="preserve"> PAGEREF _Toc473280380 \h </w:instrText>
        </w:r>
        <w:r w:rsidR="008E2217" w:rsidRPr="003859B6">
          <w:rPr>
            <w:noProof/>
          </w:rPr>
        </w:r>
        <w:r w:rsidR="008E2217" w:rsidRPr="003859B6">
          <w:rPr>
            <w:noProof/>
          </w:rPr>
          <w:fldChar w:fldCharType="separate"/>
        </w:r>
        <w:r w:rsidR="009358E8" w:rsidRPr="003859B6">
          <w:rPr>
            <w:noProof/>
          </w:rPr>
          <w:t>10</w:t>
        </w:r>
        <w:r w:rsidR="008E2217" w:rsidRPr="003859B6">
          <w:rPr>
            <w:noProof/>
          </w:rPr>
          <w:fldChar w:fldCharType="end"/>
        </w:r>
      </w:hyperlink>
    </w:p>
    <w:p w:rsidR="008E2217" w:rsidRPr="003859B6" w:rsidRDefault="00D3005E">
      <w:pPr>
        <w:pStyle w:val="TOC2"/>
        <w:rPr>
          <w:rFonts w:asciiTheme="minorHAnsi" w:eastAsiaTheme="minorEastAsia" w:hAnsiTheme="minorHAnsi" w:cstheme="minorBidi"/>
          <w:noProof/>
          <w:lang w:eastAsia="en-GB"/>
        </w:rPr>
      </w:pPr>
      <w:hyperlink w:anchor="_Toc473280381" w:history="1">
        <w:r w:rsidR="008E2217" w:rsidRPr="003859B6">
          <w:rPr>
            <w:rStyle w:val="Hyperlink"/>
            <w:noProof/>
          </w:rPr>
          <w:t>Figure 4 Capture fisheries by fishing segment, 1950-2010</w:t>
        </w:r>
        <w:r w:rsidR="008E2217" w:rsidRPr="003859B6">
          <w:rPr>
            <w:noProof/>
          </w:rPr>
          <w:tab/>
        </w:r>
        <w:r w:rsidR="008E2217" w:rsidRPr="003859B6">
          <w:rPr>
            <w:noProof/>
          </w:rPr>
          <w:fldChar w:fldCharType="begin"/>
        </w:r>
        <w:r w:rsidR="008E2217" w:rsidRPr="003859B6">
          <w:rPr>
            <w:noProof/>
          </w:rPr>
          <w:instrText xml:space="preserve"> PAGEREF _Toc473280381 \h </w:instrText>
        </w:r>
        <w:r w:rsidR="008E2217" w:rsidRPr="003859B6">
          <w:rPr>
            <w:noProof/>
          </w:rPr>
        </w:r>
        <w:r w:rsidR="008E2217" w:rsidRPr="003859B6">
          <w:rPr>
            <w:noProof/>
          </w:rPr>
          <w:fldChar w:fldCharType="separate"/>
        </w:r>
        <w:r w:rsidR="009358E8" w:rsidRPr="003859B6">
          <w:rPr>
            <w:noProof/>
          </w:rPr>
          <w:t>10</w:t>
        </w:r>
        <w:r w:rsidR="008E2217" w:rsidRPr="003859B6">
          <w:rPr>
            <w:noProof/>
          </w:rPr>
          <w:fldChar w:fldCharType="end"/>
        </w:r>
      </w:hyperlink>
    </w:p>
    <w:p w:rsidR="008E2217" w:rsidRPr="003859B6" w:rsidRDefault="00D3005E">
      <w:pPr>
        <w:pStyle w:val="TOC2"/>
        <w:rPr>
          <w:rFonts w:asciiTheme="minorHAnsi" w:eastAsiaTheme="minorEastAsia" w:hAnsiTheme="minorHAnsi" w:cstheme="minorBidi"/>
          <w:noProof/>
          <w:lang w:eastAsia="en-GB"/>
        </w:rPr>
      </w:pPr>
      <w:hyperlink w:anchor="_Toc473280382" w:history="1">
        <w:r w:rsidR="008E2217" w:rsidRPr="003859B6">
          <w:rPr>
            <w:rStyle w:val="Hyperlink"/>
            <w:noProof/>
          </w:rPr>
          <w:t>Figure 5 Composition of aquaculture production by main species (2014)</w:t>
        </w:r>
        <w:r w:rsidR="008E2217" w:rsidRPr="003859B6">
          <w:rPr>
            <w:noProof/>
          </w:rPr>
          <w:tab/>
        </w:r>
        <w:r w:rsidR="008E2217" w:rsidRPr="003859B6">
          <w:rPr>
            <w:noProof/>
          </w:rPr>
          <w:fldChar w:fldCharType="begin"/>
        </w:r>
        <w:r w:rsidR="008E2217" w:rsidRPr="003859B6">
          <w:rPr>
            <w:noProof/>
          </w:rPr>
          <w:instrText xml:space="preserve"> PAGEREF _Toc473280382 \h </w:instrText>
        </w:r>
        <w:r w:rsidR="008E2217" w:rsidRPr="003859B6">
          <w:rPr>
            <w:noProof/>
          </w:rPr>
        </w:r>
        <w:r w:rsidR="008E2217" w:rsidRPr="003859B6">
          <w:rPr>
            <w:noProof/>
          </w:rPr>
          <w:fldChar w:fldCharType="separate"/>
        </w:r>
        <w:r w:rsidR="009358E8" w:rsidRPr="003859B6">
          <w:rPr>
            <w:noProof/>
          </w:rPr>
          <w:t>11</w:t>
        </w:r>
        <w:r w:rsidR="008E2217" w:rsidRPr="003859B6">
          <w:rPr>
            <w:noProof/>
          </w:rPr>
          <w:fldChar w:fldCharType="end"/>
        </w:r>
      </w:hyperlink>
    </w:p>
    <w:p w:rsidR="008E2217" w:rsidRPr="003859B6" w:rsidRDefault="00D3005E">
      <w:pPr>
        <w:pStyle w:val="TOC2"/>
        <w:rPr>
          <w:rFonts w:asciiTheme="minorHAnsi" w:eastAsiaTheme="minorEastAsia" w:hAnsiTheme="minorHAnsi" w:cstheme="minorBidi"/>
          <w:noProof/>
          <w:lang w:eastAsia="en-GB"/>
        </w:rPr>
      </w:pPr>
      <w:hyperlink w:anchor="_Toc473280383" w:history="1">
        <w:r w:rsidR="008E2217" w:rsidRPr="003859B6">
          <w:rPr>
            <w:rStyle w:val="Hyperlink"/>
            <w:noProof/>
          </w:rPr>
          <w:t>Figure 6 Projected fisheries and Aquaculture production, 2015-2024</w:t>
        </w:r>
        <w:r w:rsidR="008E2217" w:rsidRPr="003859B6">
          <w:rPr>
            <w:noProof/>
          </w:rPr>
          <w:tab/>
        </w:r>
        <w:r w:rsidR="008E2217" w:rsidRPr="003859B6">
          <w:rPr>
            <w:noProof/>
          </w:rPr>
          <w:fldChar w:fldCharType="begin"/>
        </w:r>
        <w:r w:rsidR="008E2217" w:rsidRPr="003859B6">
          <w:rPr>
            <w:noProof/>
          </w:rPr>
          <w:instrText xml:space="preserve"> PAGEREF _Toc473280383 \h </w:instrText>
        </w:r>
        <w:r w:rsidR="008E2217" w:rsidRPr="003859B6">
          <w:rPr>
            <w:noProof/>
          </w:rPr>
        </w:r>
        <w:r w:rsidR="008E2217" w:rsidRPr="003859B6">
          <w:rPr>
            <w:noProof/>
          </w:rPr>
          <w:fldChar w:fldCharType="separate"/>
        </w:r>
        <w:r w:rsidR="009358E8" w:rsidRPr="003859B6">
          <w:rPr>
            <w:noProof/>
          </w:rPr>
          <w:t>12</w:t>
        </w:r>
        <w:r w:rsidR="008E2217" w:rsidRPr="003859B6">
          <w:rPr>
            <w:noProof/>
          </w:rPr>
          <w:fldChar w:fldCharType="end"/>
        </w:r>
      </w:hyperlink>
    </w:p>
    <w:p w:rsidR="008E2217" w:rsidRPr="003859B6" w:rsidRDefault="00D3005E">
      <w:pPr>
        <w:pStyle w:val="TOC2"/>
        <w:rPr>
          <w:rFonts w:asciiTheme="minorHAnsi" w:eastAsiaTheme="minorEastAsia" w:hAnsiTheme="minorHAnsi" w:cstheme="minorBidi"/>
          <w:noProof/>
          <w:lang w:eastAsia="en-GB"/>
        </w:rPr>
      </w:pPr>
      <w:hyperlink w:anchor="_Toc473280384" w:history="1">
        <w:r w:rsidR="008E2217" w:rsidRPr="003859B6">
          <w:rPr>
            <w:rStyle w:val="Hyperlink"/>
            <w:noProof/>
          </w:rPr>
          <w:t>Figure 7.Budget allocation for the main entities of MMAF, 2014 and 2015</w:t>
        </w:r>
        <w:r w:rsidR="008E2217" w:rsidRPr="003859B6">
          <w:rPr>
            <w:noProof/>
          </w:rPr>
          <w:tab/>
        </w:r>
        <w:r w:rsidR="008E2217" w:rsidRPr="003859B6">
          <w:rPr>
            <w:noProof/>
          </w:rPr>
          <w:fldChar w:fldCharType="begin"/>
        </w:r>
        <w:r w:rsidR="008E2217" w:rsidRPr="003859B6">
          <w:rPr>
            <w:noProof/>
          </w:rPr>
          <w:instrText xml:space="preserve"> PAGEREF _Toc473280384 \h </w:instrText>
        </w:r>
        <w:r w:rsidR="008E2217" w:rsidRPr="003859B6">
          <w:rPr>
            <w:noProof/>
          </w:rPr>
        </w:r>
        <w:r w:rsidR="008E2217" w:rsidRPr="003859B6">
          <w:rPr>
            <w:noProof/>
          </w:rPr>
          <w:fldChar w:fldCharType="separate"/>
        </w:r>
        <w:r w:rsidR="009358E8" w:rsidRPr="003859B6">
          <w:rPr>
            <w:noProof/>
          </w:rPr>
          <w:t>13</w:t>
        </w:r>
        <w:r w:rsidR="008E2217" w:rsidRPr="003859B6">
          <w:rPr>
            <w:noProof/>
          </w:rPr>
          <w:fldChar w:fldCharType="end"/>
        </w:r>
      </w:hyperlink>
    </w:p>
    <w:p w:rsidR="008E2217" w:rsidRPr="003859B6" w:rsidRDefault="00D3005E">
      <w:pPr>
        <w:pStyle w:val="TOC2"/>
        <w:rPr>
          <w:rFonts w:asciiTheme="minorHAnsi" w:eastAsiaTheme="minorEastAsia" w:hAnsiTheme="minorHAnsi" w:cstheme="minorBidi"/>
          <w:noProof/>
          <w:lang w:eastAsia="en-GB"/>
        </w:rPr>
      </w:pPr>
      <w:hyperlink w:anchor="_Toc473280385" w:history="1">
        <w:r w:rsidR="008E2217" w:rsidRPr="003859B6">
          <w:rPr>
            <w:rStyle w:val="Hyperlink"/>
            <w:noProof/>
          </w:rPr>
          <w:t>Figure 8. Support to fisheries and aquaculture 2014-2015</w:t>
        </w:r>
        <w:r w:rsidR="008E2217" w:rsidRPr="003859B6">
          <w:rPr>
            <w:noProof/>
          </w:rPr>
          <w:tab/>
        </w:r>
        <w:r w:rsidR="008E2217" w:rsidRPr="003859B6">
          <w:rPr>
            <w:noProof/>
          </w:rPr>
          <w:fldChar w:fldCharType="begin"/>
        </w:r>
        <w:r w:rsidR="008E2217" w:rsidRPr="003859B6">
          <w:rPr>
            <w:noProof/>
          </w:rPr>
          <w:instrText xml:space="preserve"> PAGEREF _Toc473280385 \h </w:instrText>
        </w:r>
        <w:r w:rsidR="008E2217" w:rsidRPr="003859B6">
          <w:rPr>
            <w:noProof/>
          </w:rPr>
        </w:r>
        <w:r w:rsidR="008E2217" w:rsidRPr="003859B6">
          <w:rPr>
            <w:noProof/>
          </w:rPr>
          <w:fldChar w:fldCharType="separate"/>
        </w:r>
        <w:r w:rsidR="009358E8" w:rsidRPr="003859B6">
          <w:rPr>
            <w:noProof/>
          </w:rPr>
          <w:t>26</w:t>
        </w:r>
        <w:r w:rsidR="008E2217" w:rsidRPr="003859B6">
          <w:rPr>
            <w:noProof/>
          </w:rPr>
          <w:fldChar w:fldCharType="end"/>
        </w:r>
      </w:hyperlink>
    </w:p>
    <w:p w:rsidR="00CE49F0" w:rsidRPr="003859B6" w:rsidRDefault="00CE49F0">
      <w:pPr>
        <w:rPr>
          <w:b/>
          <w:noProof/>
        </w:rPr>
      </w:pPr>
      <w:r w:rsidRPr="003859B6">
        <w:rPr>
          <w:b/>
          <w:noProof/>
        </w:rPr>
        <w:fldChar w:fldCharType="end"/>
      </w:r>
    </w:p>
    <w:p w:rsidR="00CE49F0" w:rsidRPr="003859B6" w:rsidRDefault="00CE49F0">
      <w:pPr>
        <w:keepNext/>
        <w:spacing w:after="240"/>
        <w:rPr>
          <w:b/>
          <w:noProof/>
        </w:rPr>
      </w:pPr>
      <w:r w:rsidRPr="003859B6">
        <w:rPr>
          <w:b/>
          <w:noProof/>
        </w:rPr>
        <w:t>Boxes</w:t>
      </w:r>
    </w:p>
    <w:p w:rsidR="009349E6" w:rsidRPr="003859B6" w:rsidRDefault="00CE49F0">
      <w:pPr>
        <w:pStyle w:val="TOC2"/>
        <w:rPr>
          <w:rFonts w:asciiTheme="minorHAnsi" w:eastAsiaTheme="minorEastAsia" w:hAnsiTheme="minorHAnsi" w:cstheme="minorBidi"/>
          <w:noProof/>
          <w:lang w:eastAsia="en-GB"/>
        </w:rPr>
      </w:pPr>
      <w:r w:rsidRPr="003859B6">
        <w:rPr>
          <w:b/>
          <w:noProof/>
        </w:rPr>
        <w:fldChar w:fldCharType="begin"/>
      </w:r>
      <w:r w:rsidRPr="003859B6">
        <w:rPr>
          <w:b/>
          <w:noProof/>
        </w:rPr>
        <w:instrText xml:space="preserve"> TOC \t "Text Box Heading;2;Box Heading;2" \h</w:instrText>
      </w:r>
      <w:r w:rsidRPr="003859B6">
        <w:rPr>
          <w:b/>
          <w:noProof/>
        </w:rPr>
        <w:fldChar w:fldCharType="separate"/>
      </w:r>
      <w:hyperlink w:anchor="_Toc473275097" w:history="1">
        <w:r w:rsidR="009349E6" w:rsidRPr="003859B6">
          <w:rPr>
            <w:rStyle w:val="Hyperlink"/>
            <w:noProof/>
            <w:color w:val="auto"/>
            <w:u w:val="none"/>
          </w:rPr>
          <w:fldChar w:fldCharType="begin"/>
        </w:r>
        <w:r w:rsidR="009349E6" w:rsidRPr="003859B6">
          <w:rPr>
            <w:rStyle w:val="Hyperlink"/>
            <w:noProof/>
            <w:color w:val="auto"/>
            <w:u w:val="none"/>
          </w:rPr>
          <w:instrText xml:space="preserve"> MACROBUTTON NUMBERING Box </w:instrText>
        </w:r>
        <w:r w:rsidR="009349E6" w:rsidRPr="003859B6">
          <w:rPr>
            <w:rStyle w:val="Hyperlink"/>
            <w:noProof/>
            <w:color w:val="auto"/>
            <w:u w:val="none"/>
          </w:rPr>
          <w:fldChar w:fldCharType="begin"/>
        </w:r>
        <w:r w:rsidR="009349E6" w:rsidRPr="003859B6">
          <w:rPr>
            <w:rStyle w:val="Hyperlink"/>
            <w:noProof/>
            <w:color w:val="auto"/>
            <w:u w:val="none"/>
          </w:rPr>
          <w:instrText xml:space="preserve"> SEQ  box</w:instrText>
        </w:r>
        <w:r w:rsidR="009349E6" w:rsidRPr="003859B6">
          <w:rPr>
            <w:rStyle w:val="Hyperlink"/>
            <w:noProof/>
            <w:color w:val="auto"/>
            <w:u w:val="none"/>
          </w:rPr>
          <w:fldChar w:fldCharType="separate"/>
        </w:r>
        <w:r w:rsidR="003859B6">
          <w:rPr>
            <w:rStyle w:val="Hyperlink"/>
            <w:noProof/>
            <w:color w:val="auto"/>
            <w:u w:val="none"/>
          </w:rPr>
          <w:instrText>1</w:instrText>
        </w:r>
        <w:r w:rsidR="009349E6" w:rsidRPr="003859B6">
          <w:rPr>
            <w:rStyle w:val="Hyperlink"/>
            <w:noProof/>
            <w:color w:val="auto"/>
            <w:u w:val="none"/>
          </w:rPr>
          <w:fldChar w:fldCharType="end"/>
        </w:r>
        <w:r w:rsidR="009349E6" w:rsidRPr="003859B6">
          <w:rPr>
            <w:rStyle w:val="Hyperlink"/>
            <w:noProof/>
            <w:color w:val="auto"/>
            <w:u w:val="none"/>
          </w:rPr>
          <w:instrText xml:space="preserve">. </w:instrText>
        </w:r>
        <w:r w:rsidR="009349E6" w:rsidRPr="003859B6">
          <w:rPr>
            <w:rStyle w:val="Hyperlink"/>
            <w:noProof/>
            <w:color w:val="auto"/>
            <w:u w:val="none"/>
          </w:rPr>
          <w:fldChar w:fldCharType="end"/>
        </w:r>
        <w:r w:rsidR="009349E6" w:rsidRPr="003859B6">
          <w:rPr>
            <w:rStyle w:val="Hyperlink"/>
            <w:noProof/>
            <w:color w:val="auto"/>
            <w:u w:val="none"/>
          </w:rPr>
          <w:t>Marine fisheries and aquaculture production in Indonesia</w:t>
        </w:r>
        <w:r w:rsidR="009349E6" w:rsidRPr="003859B6">
          <w:rPr>
            <w:noProof/>
          </w:rPr>
          <w:tab/>
        </w:r>
        <w:r w:rsidR="009349E6" w:rsidRPr="003859B6">
          <w:rPr>
            <w:noProof/>
          </w:rPr>
          <w:fldChar w:fldCharType="begin"/>
        </w:r>
        <w:r w:rsidR="009349E6" w:rsidRPr="003859B6">
          <w:rPr>
            <w:noProof/>
          </w:rPr>
          <w:instrText xml:space="preserve"> PAGEREF _Toc473275097 \h </w:instrText>
        </w:r>
        <w:r w:rsidR="009349E6" w:rsidRPr="003859B6">
          <w:rPr>
            <w:noProof/>
          </w:rPr>
        </w:r>
        <w:r w:rsidR="009349E6" w:rsidRPr="003859B6">
          <w:rPr>
            <w:noProof/>
          </w:rPr>
          <w:fldChar w:fldCharType="separate"/>
        </w:r>
        <w:r w:rsidR="009358E8" w:rsidRPr="003859B6">
          <w:rPr>
            <w:noProof/>
          </w:rPr>
          <w:t>9</w:t>
        </w:r>
        <w:r w:rsidR="009349E6" w:rsidRPr="003859B6">
          <w:rPr>
            <w:noProof/>
          </w:rPr>
          <w:fldChar w:fldCharType="end"/>
        </w:r>
      </w:hyperlink>
    </w:p>
    <w:p w:rsidR="009349E6" w:rsidRPr="003859B6" w:rsidRDefault="00D3005E">
      <w:pPr>
        <w:pStyle w:val="TOC2"/>
        <w:rPr>
          <w:rFonts w:asciiTheme="minorHAnsi" w:eastAsiaTheme="minorEastAsia" w:hAnsiTheme="minorHAnsi" w:cstheme="minorBidi"/>
          <w:noProof/>
          <w:lang w:eastAsia="en-GB"/>
        </w:rPr>
      </w:pPr>
      <w:hyperlink w:anchor="_Toc473275098" w:history="1">
        <w:r w:rsidR="009349E6" w:rsidRPr="003859B6">
          <w:rPr>
            <w:rStyle w:val="Hyperlink"/>
            <w:noProof/>
            <w:color w:val="auto"/>
            <w:u w:val="none"/>
          </w:rPr>
          <w:t>Box 2. Designing rebuilding and management targets</w:t>
        </w:r>
        <w:r w:rsidR="009349E6" w:rsidRPr="003859B6">
          <w:rPr>
            <w:noProof/>
          </w:rPr>
          <w:tab/>
        </w:r>
        <w:r w:rsidR="009349E6" w:rsidRPr="003859B6">
          <w:rPr>
            <w:noProof/>
          </w:rPr>
          <w:fldChar w:fldCharType="begin"/>
        </w:r>
        <w:r w:rsidR="009349E6" w:rsidRPr="003859B6">
          <w:rPr>
            <w:noProof/>
          </w:rPr>
          <w:instrText xml:space="preserve"> PAGEREF _Toc473275098 \h </w:instrText>
        </w:r>
        <w:r w:rsidR="009349E6" w:rsidRPr="003859B6">
          <w:rPr>
            <w:noProof/>
          </w:rPr>
        </w:r>
        <w:r w:rsidR="009349E6" w:rsidRPr="003859B6">
          <w:rPr>
            <w:noProof/>
          </w:rPr>
          <w:fldChar w:fldCharType="separate"/>
        </w:r>
        <w:r w:rsidR="009358E8" w:rsidRPr="003859B6">
          <w:rPr>
            <w:noProof/>
          </w:rPr>
          <w:t>19</w:t>
        </w:r>
        <w:r w:rsidR="009349E6" w:rsidRPr="003859B6">
          <w:rPr>
            <w:noProof/>
          </w:rPr>
          <w:fldChar w:fldCharType="end"/>
        </w:r>
      </w:hyperlink>
    </w:p>
    <w:p w:rsidR="009349E6" w:rsidRPr="003859B6" w:rsidRDefault="00D3005E">
      <w:pPr>
        <w:pStyle w:val="TOC2"/>
        <w:rPr>
          <w:rFonts w:asciiTheme="minorHAnsi" w:eastAsiaTheme="minorEastAsia" w:hAnsiTheme="minorHAnsi" w:cstheme="minorBidi"/>
          <w:noProof/>
          <w:lang w:eastAsia="en-GB"/>
        </w:rPr>
      </w:pPr>
      <w:hyperlink w:anchor="_Toc473275099" w:history="1">
        <w:r w:rsidR="009349E6" w:rsidRPr="003859B6">
          <w:rPr>
            <w:rStyle w:val="Hyperlink"/>
            <w:noProof/>
            <w:color w:val="auto"/>
            <w:u w:val="none"/>
          </w:rPr>
          <w:t>Box 3. Legitimate and acceptable governance</w:t>
        </w:r>
        <w:r w:rsidR="009349E6" w:rsidRPr="003859B6">
          <w:rPr>
            <w:noProof/>
          </w:rPr>
          <w:tab/>
        </w:r>
        <w:r w:rsidR="009349E6" w:rsidRPr="003859B6">
          <w:rPr>
            <w:noProof/>
          </w:rPr>
          <w:fldChar w:fldCharType="begin"/>
        </w:r>
        <w:r w:rsidR="009349E6" w:rsidRPr="003859B6">
          <w:rPr>
            <w:noProof/>
          </w:rPr>
          <w:instrText xml:space="preserve"> PAGEREF _Toc473275099 \h </w:instrText>
        </w:r>
        <w:r w:rsidR="009349E6" w:rsidRPr="003859B6">
          <w:rPr>
            <w:noProof/>
          </w:rPr>
        </w:r>
        <w:r w:rsidR="009349E6" w:rsidRPr="003859B6">
          <w:rPr>
            <w:noProof/>
          </w:rPr>
          <w:fldChar w:fldCharType="separate"/>
        </w:r>
        <w:r w:rsidR="009358E8" w:rsidRPr="003859B6">
          <w:rPr>
            <w:noProof/>
          </w:rPr>
          <w:t>21</w:t>
        </w:r>
        <w:r w:rsidR="009349E6" w:rsidRPr="003859B6">
          <w:rPr>
            <w:noProof/>
          </w:rPr>
          <w:fldChar w:fldCharType="end"/>
        </w:r>
      </w:hyperlink>
    </w:p>
    <w:p w:rsidR="00CE49F0" w:rsidRPr="003859B6" w:rsidRDefault="00CE49F0">
      <w:pPr>
        <w:rPr>
          <w:b/>
          <w:noProof/>
        </w:rPr>
      </w:pPr>
      <w:r w:rsidRPr="003859B6">
        <w:rPr>
          <w:b/>
          <w:noProof/>
        </w:rPr>
        <w:fldChar w:fldCharType="end"/>
      </w:r>
    </w:p>
    <w:p w:rsidR="00CE49F0" w:rsidRPr="003859B6" w:rsidRDefault="00CE49F0">
      <w:pPr>
        <w:tabs>
          <w:tab w:val="clear" w:pos="850"/>
          <w:tab w:val="clear" w:pos="1191"/>
          <w:tab w:val="clear" w:pos="1531"/>
        </w:tabs>
        <w:jc w:val="left"/>
        <w:rPr>
          <w:b/>
          <w:sz w:val="21"/>
          <w:szCs w:val="21"/>
        </w:rPr>
      </w:pPr>
      <w:r w:rsidRPr="003859B6">
        <w:rPr>
          <w:b/>
          <w:sz w:val="21"/>
          <w:szCs w:val="21"/>
        </w:rPr>
        <w:br w:type="page"/>
      </w:r>
    </w:p>
    <w:bookmarkEnd w:id="1"/>
    <w:p w:rsidR="006B0A8F" w:rsidRPr="003859B6" w:rsidRDefault="006B0A8F" w:rsidP="006D137E">
      <w:pPr>
        <w:pStyle w:val="BodyText"/>
        <w:spacing w:before="120"/>
        <w:ind w:right="113" w:firstLine="0"/>
        <w:rPr>
          <w:b/>
          <w:sz w:val="21"/>
          <w:szCs w:val="21"/>
        </w:rPr>
      </w:pPr>
      <w:r w:rsidRPr="003859B6">
        <w:rPr>
          <w:b/>
          <w:sz w:val="21"/>
          <w:szCs w:val="21"/>
        </w:rPr>
        <w:t>Acknowledgements</w:t>
      </w:r>
      <w:bookmarkEnd w:id="2"/>
      <w:bookmarkEnd w:id="3"/>
    </w:p>
    <w:p w:rsidR="00512B42" w:rsidRPr="003859B6" w:rsidRDefault="005C7927" w:rsidP="009304A5">
      <w:pPr>
        <w:autoSpaceDE w:val="0"/>
        <w:autoSpaceDN w:val="0"/>
      </w:pPr>
      <w:r w:rsidRPr="003859B6">
        <w:t xml:space="preserve">This study has been co-ordinated and drafted by </w:t>
      </w:r>
      <w:r w:rsidR="00512B42" w:rsidRPr="003859B6">
        <w:t xml:space="preserve">Claire Delpeuch and Ingrid </w:t>
      </w:r>
      <w:proofErr w:type="spellStart"/>
      <w:r w:rsidR="00512B42" w:rsidRPr="003859B6">
        <w:t>Kelling</w:t>
      </w:r>
      <w:proofErr w:type="spellEnd"/>
      <w:r w:rsidR="00512B42" w:rsidRPr="003859B6">
        <w:t xml:space="preserve"> </w:t>
      </w:r>
      <w:r w:rsidRPr="003859B6">
        <w:t>from</w:t>
      </w:r>
      <w:r w:rsidR="00512B42" w:rsidRPr="003859B6">
        <w:t xml:space="preserve"> the Natural Resources Policies Division of the Trade and Agriculture Direct</w:t>
      </w:r>
      <w:r w:rsidR="00E86E44" w:rsidRPr="003859B6">
        <w:t>orate. Information and data on g</w:t>
      </w:r>
      <w:r w:rsidR="00512B42" w:rsidRPr="003859B6">
        <w:t xml:space="preserve">overnment programmes supporting the fisheries and aquaculture sectors was </w:t>
      </w:r>
      <w:r w:rsidR="00786021" w:rsidRPr="003859B6">
        <w:t xml:space="preserve">collected by Rohana Subasinghe, </w:t>
      </w:r>
      <w:proofErr w:type="spellStart"/>
      <w:r w:rsidR="00786021" w:rsidRPr="003859B6">
        <w:t>FutureFish</w:t>
      </w:r>
      <w:proofErr w:type="spellEnd"/>
      <w:r w:rsidR="00786021" w:rsidRPr="003859B6">
        <w:t>, Sri Lanka</w:t>
      </w:r>
      <w:r w:rsidR="00512B42" w:rsidRPr="003859B6">
        <w:t xml:space="preserve">. </w:t>
      </w:r>
      <w:r w:rsidR="00D353B8" w:rsidRPr="003859B6">
        <w:t xml:space="preserve">The authors would like to thank the </w:t>
      </w:r>
      <w:r w:rsidR="000A6F40" w:rsidRPr="003859B6">
        <w:t xml:space="preserve">Indonesian </w:t>
      </w:r>
      <w:r w:rsidR="00D353B8" w:rsidRPr="003859B6">
        <w:t xml:space="preserve">Ministry of Marine Affairs and Fisheries (MMAF) </w:t>
      </w:r>
      <w:r w:rsidR="0089336D" w:rsidRPr="003859B6">
        <w:t xml:space="preserve">and </w:t>
      </w:r>
      <w:r w:rsidR="000A6F40" w:rsidRPr="003859B6">
        <w:t xml:space="preserve">the </w:t>
      </w:r>
      <w:r w:rsidR="0089336D" w:rsidRPr="003859B6">
        <w:t xml:space="preserve">Presidential Task Force to Combat Illegal Fishing </w:t>
      </w:r>
      <w:r w:rsidR="001416D8" w:rsidRPr="003859B6">
        <w:t xml:space="preserve">of Indonesia </w:t>
      </w:r>
      <w:r w:rsidR="00D353B8" w:rsidRPr="003859B6">
        <w:t>for their kind co</w:t>
      </w:r>
      <w:r w:rsidRPr="003859B6">
        <w:t>-</w:t>
      </w:r>
      <w:r w:rsidR="00D353B8" w:rsidRPr="003859B6">
        <w:t>operation and</w:t>
      </w:r>
      <w:r w:rsidR="005F35B7" w:rsidRPr="003859B6">
        <w:t>, in</w:t>
      </w:r>
      <w:r w:rsidR="00D353B8" w:rsidRPr="003859B6">
        <w:t xml:space="preserve"> particular</w:t>
      </w:r>
      <w:r w:rsidR="005F35B7" w:rsidRPr="003859B6">
        <w:t>,</w:t>
      </w:r>
      <w:r w:rsidR="0089336D" w:rsidRPr="003859B6">
        <w:t xml:space="preserve"> </w:t>
      </w:r>
      <w:proofErr w:type="spellStart"/>
      <w:r w:rsidR="00D353B8" w:rsidRPr="003859B6">
        <w:t>Maskur</w:t>
      </w:r>
      <w:proofErr w:type="spellEnd"/>
      <w:r w:rsidR="00D353B8" w:rsidRPr="003859B6">
        <w:t xml:space="preserve"> </w:t>
      </w:r>
      <w:proofErr w:type="spellStart"/>
      <w:r w:rsidR="00D353B8" w:rsidRPr="003859B6">
        <w:t>Maskur</w:t>
      </w:r>
      <w:proofErr w:type="spellEnd"/>
      <w:r w:rsidR="0089336D" w:rsidRPr="003859B6">
        <w:t xml:space="preserve"> for </w:t>
      </w:r>
      <w:r w:rsidR="005F35B7" w:rsidRPr="003859B6">
        <w:t xml:space="preserve">their </w:t>
      </w:r>
      <w:r w:rsidR="000A6F40" w:rsidRPr="003859B6">
        <w:t xml:space="preserve">help with </w:t>
      </w:r>
      <w:r w:rsidR="0089336D" w:rsidRPr="003859B6">
        <w:t>the support data collection process</w:t>
      </w:r>
      <w:r w:rsidR="000A6F40" w:rsidRPr="003859B6">
        <w:t>;</w:t>
      </w:r>
      <w:r w:rsidR="00D353B8" w:rsidRPr="003859B6">
        <w:t xml:space="preserve"> </w:t>
      </w:r>
      <w:r w:rsidR="0089336D" w:rsidRPr="003859B6">
        <w:t xml:space="preserve">Rita </w:t>
      </w:r>
      <w:proofErr w:type="spellStart"/>
      <w:r w:rsidR="0089336D" w:rsidRPr="003859B6">
        <w:t>Octafiani</w:t>
      </w:r>
      <w:proofErr w:type="spellEnd"/>
      <w:r w:rsidR="0089336D" w:rsidRPr="003859B6">
        <w:t xml:space="preserve"> for organising in-country missions and visits</w:t>
      </w:r>
      <w:r w:rsidR="000A6F40" w:rsidRPr="003859B6">
        <w:t>;</w:t>
      </w:r>
      <w:r w:rsidR="0089336D" w:rsidRPr="003859B6">
        <w:t xml:space="preserve"> and Sonny </w:t>
      </w:r>
      <w:proofErr w:type="spellStart"/>
      <w:r w:rsidR="0089336D" w:rsidRPr="003859B6">
        <w:t>Koeshendrajan</w:t>
      </w:r>
      <w:proofErr w:type="spellEnd"/>
      <w:r w:rsidR="0089336D" w:rsidRPr="003859B6">
        <w:t xml:space="preserve">, </w:t>
      </w:r>
      <w:proofErr w:type="spellStart"/>
      <w:r w:rsidR="0089336D" w:rsidRPr="003859B6">
        <w:t>Naftalia</w:t>
      </w:r>
      <w:proofErr w:type="spellEnd"/>
      <w:r w:rsidR="0089336D" w:rsidRPr="003859B6">
        <w:t xml:space="preserve"> </w:t>
      </w:r>
      <w:proofErr w:type="spellStart"/>
      <w:r w:rsidR="0089336D" w:rsidRPr="003859B6">
        <w:t>Siregar</w:t>
      </w:r>
      <w:proofErr w:type="spellEnd"/>
      <w:r w:rsidR="0089336D" w:rsidRPr="003859B6">
        <w:t xml:space="preserve"> and </w:t>
      </w:r>
      <w:proofErr w:type="spellStart"/>
      <w:r w:rsidR="0089336D" w:rsidRPr="003859B6">
        <w:t>Achmad</w:t>
      </w:r>
      <w:proofErr w:type="spellEnd"/>
      <w:r w:rsidR="0089336D" w:rsidRPr="003859B6">
        <w:t xml:space="preserve"> </w:t>
      </w:r>
      <w:proofErr w:type="spellStart"/>
      <w:r w:rsidR="0089336D" w:rsidRPr="003859B6">
        <w:t>Santosa</w:t>
      </w:r>
      <w:proofErr w:type="spellEnd"/>
      <w:r w:rsidR="0089336D" w:rsidRPr="003859B6">
        <w:t xml:space="preserve"> fo</w:t>
      </w:r>
      <w:r w:rsidR="001416D8" w:rsidRPr="003859B6">
        <w:t xml:space="preserve">r sharing information. </w:t>
      </w:r>
      <w:r w:rsidR="00D353B8" w:rsidRPr="003859B6">
        <w:t xml:space="preserve">Ria </w:t>
      </w:r>
      <w:proofErr w:type="spellStart"/>
      <w:r w:rsidR="00D353B8" w:rsidRPr="003859B6">
        <w:t>Fitriana</w:t>
      </w:r>
      <w:proofErr w:type="spellEnd"/>
      <w:r w:rsidR="00D353B8" w:rsidRPr="003859B6">
        <w:t>, Charles Darwin University</w:t>
      </w:r>
      <w:r w:rsidRPr="003859B6">
        <w:t>;</w:t>
      </w:r>
      <w:r w:rsidR="00D353B8" w:rsidRPr="003859B6">
        <w:t xml:space="preserve"> Abdullah </w:t>
      </w:r>
      <w:proofErr w:type="spellStart"/>
      <w:r w:rsidR="00D353B8" w:rsidRPr="003859B6">
        <w:t>Habibi</w:t>
      </w:r>
      <w:proofErr w:type="spellEnd"/>
      <w:r w:rsidR="00D353B8" w:rsidRPr="003859B6">
        <w:t>, WWF Indonesia</w:t>
      </w:r>
      <w:r w:rsidRPr="003859B6">
        <w:t xml:space="preserve">; </w:t>
      </w:r>
      <w:r w:rsidR="00D353B8" w:rsidRPr="003859B6">
        <w:t xml:space="preserve">Daniel </w:t>
      </w:r>
      <w:proofErr w:type="spellStart"/>
      <w:r w:rsidR="00D353B8" w:rsidRPr="003859B6">
        <w:t>Pauly</w:t>
      </w:r>
      <w:proofErr w:type="spellEnd"/>
      <w:r w:rsidR="00D353B8" w:rsidRPr="003859B6">
        <w:t xml:space="preserve">, University of </w:t>
      </w:r>
      <w:r w:rsidR="001416D8" w:rsidRPr="003859B6">
        <w:t>British Columbia</w:t>
      </w:r>
      <w:r w:rsidRPr="003859B6">
        <w:t>;</w:t>
      </w:r>
      <w:r w:rsidR="001416D8" w:rsidRPr="003859B6">
        <w:t xml:space="preserve"> and</w:t>
      </w:r>
      <w:r w:rsidR="00D353B8" w:rsidRPr="003859B6">
        <w:t xml:space="preserve"> </w:t>
      </w:r>
      <w:proofErr w:type="spellStart"/>
      <w:r w:rsidR="00D353B8" w:rsidRPr="003859B6">
        <w:t>Nhuong</w:t>
      </w:r>
      <w:proofErr w:type="spellEnd"/>
      <w:r w:rsidR="00D353B8" w:rsidRPr="003859B6">
        <w:t xml:space="preserve"> Tran, WorldFish</w:t>
      </w:r>
      <w:r w:rsidR="001416D8" w:rsidRPr="003859B6">
        <w:t xml:space="preserve"> kindly commented on </w:t>
      </w:r>
      <w:r w:rsidR="00512B42" w:rsidRPr="003859B6">
        <w:t xml:space="preserve">earlier drafts. </w:t>
      </w:r>
      <w:r w:rsidR="009304A5" w:rsidRPr="003859B6">
        <w:t>Statistical support was provided</w:t>
      </w:r>
      <w:r w:rsidR="00214352" w:rsidRPr="003859B6">
        <w:t xml:space="preserve"> by Fabiana </w:t>
      </w:r>
      <w:proofErr w:type="spellStart"/>
      <w:r w:rsidR="00214352" w:rsidRPr="003859B6">
        <w:t>Cerasa</w:t>
      </w:r>
      <w:proofErr w:type="spellEnd"/>
      <w:r w:rsidRPr="003859B6">
        <w:t>,</w:t>
      </w:r>
      <w:r w:rsidR="00214352" w:rsidRPr="003859B6">
        <w:t xml:space="preserve"> and the</w:t>
      </w:r>
      <w:r w:rsidR="00512B42" w:rsidRPr="003859B6">
        <w:t xml:space="preserve"> document was edited by Robert </w:t>
      </w:r>
      <w:proofErr w:type="spellStart"/>
      <w:r w:rsidR="00512B42" w:rsidRPr="003859B6">
        <w:t>Akam</w:t>
      </w:r>
      <w:proofErr w:type="spellEnd"/>
      <w:r w:rsidR="005F35B7" w:rsidRPr="003859B6">
        <w:t xml:space="preserve"> and Clara </w:t>
      </w:r>
      <w:proofErr w:type="spellStart"/>
      <w:r w:rsidR="005F35B7" w:rsidRPr="003859B6">
        <w:t>Thompson-Lipponen</w:t>
      </w:r>
      <w:proofErr w:type="spellEnd"/>
      <w:r w:rsidR="00512B42" w:rsidRPr="003859B6">
        <w:t>.</w:t>
      </w:r>
    </w:p>
    <w:p w:rsidR="00EE3554" w:rsidRPr="003859B6" w:rsidRDefault="00EE3554" w:rsidP="00EE3554">
      <w:pPr>
        <w:pStyle w:val="BodyText"/>
        <w:spacing w:before="120"/>
        <w:ind w:right="113" w:firstLine="0"/>
        <w:rPr>
          <w:i/>
          <w:sz w:val="21"/>
          <w:szCs w:val="21"/>
        </w:rPr>
      </w:pPr>
    </w:p>
    <w:p w:rsidR="00EE3554" w:rsidRPr="003859B6" w:rsidRDefault="00EE3554">
      <w:pPr>
        <w:tabs>
          <w:tab w:val="clear" w:pos="850"/>
          <w:tab w:val="clear" w:pos="1191"/>
          <w:tab w:val="clear" w:pos="1531"/>
        </w:tabs>
        <w:jc w:val="left"/>
        <w:rPr>
          <w:i/>
          <w:sz w:val="21"/>
          <w:szCs w:val="21"/>
        </w:rPr>
      </w:pPr>
      <w:r w:rsidRPr="003859B6">
        <w:rPr>
          <w:i/>
          <w:sz w:val="21"/>
          <w:szCs w:val="21"/>
        </w:rPr>
        <w:br w:type="page"/>
      </w:r>
    </w:p>
    <w:p w:rsidR="00EE3554" w:rsidRPr="003859B6" w:rsidRDefault="00EE3554" w:rsidP="00EE3554">
      <w:pPr>
        <w:pStyle w:val="BodyText"/>
        <w:spacing w:before="120"/>
        <w:ind w:right="113" w:firstLine="0"/>
        <w:rPr>
          <w:b/>
        </w:rPr>
      </w:pPr>
      <w:r w:rsidRPr="003859B6">
        <w:rPr>
          <w:b/>
        </w:rPr>
        <w:t>Abstract</w:t>
      </w:r>
    </w:p>
    <w:p w:rsidR="00B178BF" w:rsidRPr="003859B6" w:rsidRDefault="006D137E" w:rsidP="00B178BF">
      <w:pPr>
        <w:pStyle w:val="BodyText"/>
        <w:spacing w:before="120"/>
        <w:ind w:right="113" w:firstLine="0"/>
        <w:rPr>
          <w:i/>
        </w:rPr>
      </w:pPr>
      <w:r w:rsidRPr="003859B6">
        <w:rPr>
          <w:i/>
          <w:sz w:val="21"/>
          <w:szCs w:val="21"/>
        </w:rPr>
        <w:tab/>
      </w:r>
      <w:r w:rsidR="00EE3554" w:rsidRPr="003859B6">
        <w:rPr>
          <w:i/>
        </w:rPr>
        <w:t xml:space="preserve">This chapter </w:t>
      </w:r>
      <w:r w:rsidR="007C409F" w:rsidRPr="003859B6">
        <w:rPr>
          <w:i/>
        </w:rPr>
        <w:t>explores</w:t>
      </w:r>
      <w:r w:rsidR="00EE3554" w:rsidRPr="003859B6">
        <w:rPr>
          <w:i/>
        </w:rPr>
        <w:t xml:space="preserve"> how fisheries and aquaculture policies in Indonesia can contribute to improved food security and nutrition. It </w:t>
      </w:r>
      <w:r w:rsidR="005B6EE6" w:rsidRPr="003859B6">
        <w:rPr>
          <w:i/>
        </w:rPr>
        <w:t>takes stock of the challenge</w:t>
      </w:r>
      <w:r w:rsidR="007C409F" w:rsidRPr="003859B6">
        <w:rPr>
          <w:i/>
        </w:rPr>
        <w:t>s to</w:t>
      </w:r>
      <w:r w:rsidR="005B6EE6" w:rsidRPr="003859B6">
        <w:rPr>
          <w:i/>
        </w:rPr>
        <w:t xml:space="preserve"> </w:t>
      </w:r>
      <w:r w:rsidR="007C409F" w:rsidRPr="003859B6">
        <w:rPr>
          <w:i/>
        </w:rPr>
        <w:t xml:space="preserve">food security </w:t>
      </w:r>
      <w:r w:rsidR="005B6EE6" w:rsidRPr="003859B6">
        <w:rPr>
          <w:i/>
        </w:rPr>
        <w:t>in Indonesia, describes how fisheries and aquaculture contribute</w:t>
      </w:r>
      <w:r w:rsidR="00012BB5" w:rsidRPr="003859B6">
        <w:rPr>
          <w:i/>
        </w:rPr>
        <w:t xml:space="preserve"> to</w:t>
      </w:r>
      <w:r w:rsidR="005B6EE6" w:rsidRPr="003859B6">
        <w:rPr>
          <w:i/>
        </w:rPr>
        <w:t xml:space="preserve"> nutritious food</w:t>
      </w:r>
      <w:r w:rsidR="00012BB5" w:rsidRPr="003859B6">
        <w:rPr>
          <w:i/>
        </w:rPr>
        <w:t xml:space="preserve"> supplies</w:t>
      </w:r>
      <w:r w:rsidR="005B6EE6" w:rsidRPr="003859B6">
        <w:rPr>
          <w:i/>
        </w:rPr>
        <w:t xml:space="preserve"> and</w:t>
      </w:r>
      <w:r w:rsidR="00012BB5" w:rsidRPr="003859B6">
        <w:rPr>
          <w:i/>
        </w:rPr>
        <w:t xml:space="preserve"> </w:t>
      </w:r>
      <w:r w:rsidR="005B6EE6" w:rsidRPr="003859B6">
        <w:rPr>
          <w:i/>
        </w:rPr>
        <w:t xml:space="preserve">incomes, and </w:t>
      </w:r>
      <w:r w:rsidR="007C409F" w:rsidRPr="003859B6">
        <w:rPr>
          <w:i/>
        </w:rPr>
        <w:t>outlines</w:t>
      </w:r>
      <w:r w:rsidR="005B6EE6" w:rsidRPr="003859B6">
        <w:rPr>
          <w:i/>
        </w:rPr>
        <w:t xml:space="preserve"> the strategy of the Government of Indonesia for the sector</w:t>
      </w:r>
      <w:r w:rsidR="00B178BF" w:rsidRPr="003859B6">
        <w:rPr>
          <w:i/>
        </w:rPr>
        <w:t xml:space="preserve">. </w:t>
      </w:r>
      <w:r w:rsidR="00C31C7B" w:rsidRPr="003859B6">
        <w:rPr>
          <w:i/>
        </w:rPr>
        <w:t>P</w:t>
      </w:r>
      <w:r w:rsidR="00EE3554" w:rsidRPr="003859B6">
        <w:rPr>
          <w:i/>
        </w:rPr>
        <w:t xml:space="preserve">olicies currently in place </w:t>
      </w:r>
      <w:r w:rsidR="00C31C7B" w:rsidRPr="003859B6">
        <w:rPr>
          <w:i/>
        </w:rPr>
        <w:t>are then analysed</w:t>
      </w:r>
      <w:r w:rsidR="005B6EE6" w:rsidRPr="003859B6">
        <w:rPr>
          <w:i/>
        </w:rPr>
        <w:t>,</w:t>
      </w:r>
      <w:r w:rsidR="00EE3554" w:rsidRPr="003859B6">
        <w:rPr>
          <w:i/>
        </w:rPr>
        <w:t xml:space="preserve"> and alternative policy options</w:t>
      </w:r>
      <w:r w:rsidR="00C31C7B" w:rsidRPr="003859B6">
        <w:rPr>
          <w:i/>
        </w:rPr>
        <w:t xml:space="preserve"> are proposed</w:t>
      </w:r>
      <w:r w:rsidR="00EE3554" w:rsidRPr="003859B6">
        <w:rPr>
          <w:i/>
        </w:rPr>
        <w:t xml:space="preserve">, where relevant, in light of three main objectives: </w:t>
      </w:r>
      <w:r w:rsidR="00370ADB" w:rsidRPr="003859B6">
        <w:rPr>
          <w:i/>
        </w:rPr>
        <w:t xml:space="preserve">sustainable management of </w:t>
      </w:r>
      <w:r w:rsidR="00EE3554" w:rsidRPr="003859B6">
        <w:rPr>
          <w:i/>
        </w:rPr>
        <w:t>natural resources for the future</w:t>
      </w:r>
      <w:r w:rsidR="009417D4" w:rsidRPr="003859B6">
        <w:rPr>
          <w:i/>
        </w:rPr>
        <w:t xml:space="preserve">, </w:t>
      </w:r>
      <w:r w:rsidR="00370ADB" w:rsidRPr="003859B6">
        <w:rPr>
          <w:i/>
        </w:rPr>
        <w:t xml:space="preserve">increased </w:t>
      </w:r>
      <w:r w:rsidR="00EE3554" w:rsidRPr="003859B6">
        <w:rPr>
          <w:i/>
        </w:rPr>
        <w:t>economic opportunities for fishers and aqua-farmers</w:t>
      </w:r>
      <w:r w:rsidR="009417D4" w:rsidRPr="003859B6">
        <w:rPr>
          <w:i/>
        </w:rPr>
        <w:t xml:space="preserve">, </w:t>
      </w:r>
      <w:r w:rsidR="00EE3554" w:rsidRPr="003859B6">
        <w:rPr>
          <w:i/>
        </w:rPr>
        <w:t xml:space="preserve">and </w:t>
      </w:r>
      <w:r w:rsidR="00370ADB" w:rsidRPr="003859B6">
        <w:rPr>
          <w:i/>
        </w:rPr>
        <w:t xml:space="preserve">improved </w:t>
      </w:r>
      <w:r w:rsidR="00EE3554" w:rsidRPr="003859B6">
        <w:rPr>
          <w:i/>
        </w:rPr>
        <w:t xml:space="preserve">consumer access to seafood. </w:t>
      </w:r>
    </w:p>
    <w:p w:rsidR="00EE3554" w:rsidRPr="003859B6" w:rsidRDefault="00EE3554" w:rsidP="00EE3554">
      <w:pPr>
        <w:pStyle w:val="Num-DocParagraph"/>
      </w:pPr>
    </w:p>
    <w:p w:rsidR="00EE3554" w:rsidRPr="003859B6" w:rsidRDefault="00EE3554" w:rsidP="00EE3554">
      <w:pPr>
        <w:pStyle w:val="BodyText"/>
        <w:spacing w:before="120"/>
        <w:ind w:right="113" w:firstLine="0"/>
        <w:rPr>
          <w:i/>
          <w:sz w:val="21"/>
          <w:szCs w:val="21"/>
        </w:rPr>
      </w:pPr>
    </w:p>
    <w:p w:rsidR="00EE3554" w:rsidRPr="003859B6" w:rsidRDefault="00EE3554" w:rsidP="00EE3554">
      <w:pPr>
        <w:pStyle w:val="BoxHeading"/>
      </w:pPr>
    </w:p>
    <w:p w:rsidR="00C330D3" w:rsidRPr="003859B6" w:rsidRDefault="00EE3554" w:rsidP="000C5D65">
      <w:pPr>
        <w:pStyle w:val="BoxBodyText"/>
        <w:rPr>
          <w:rFonts w:ascii="Times New Roman" w:hAnsi="Times New Roman" w:cs="Times New Roman"/>
          <w:b/>
          <w:sz w:val="22"/>
        </w:rPr>
      </w:pPr>
      <w:r w:rsidRPr="003859B6">
        <w:rPr>
          <w:b/>
        </w:rPr>
        <w:br w:type="page"/>
      </w:r>
      <w:bookmarkStart w:id="4" w:name="_Toc472354572"/>
      <w:bookmarkStart w:id="5" w:name="_Toc472936619"/>
      <w:r w:rsidR="00862301" w:rsidRPr="003859B6">
        <w:rPr>
          <w:rFonts w:ascii="Times New Roman" w:hAnsi="Times New Roman" w:cs="Times New Roman"/>
          <w:b/>
          <w:sz w:val="22"/>
        </w:rPr>
        <w:t>Key points</w:t>
      </w:r>
      <w:bookmarkEnd w:id="4"/>
      <w:bookmarkEnd w:id="5"/>
    </w:p>
    <w:p w:rsidR="006351B0" w:rsidRPr="003859B6" w:rsidRDefault="00D07EF9" w:rsidP="00510B7C">
      <w:pPr>
        <w:pStyle w:val="Num-DocParagraph"/>
        <w:numPr>
          <w:ilvl w:val="0"/>
          <w:numId w:val="26"/>
        </w:numPr>
      </w:pPr>
      <w:r w:rsidRPr="003859B6">
        <w:t xml:space="preserve">Food </w:t>
      </w:r>
      <w:r w:rsidR="00BF0C91" w:rsidRPr="003859B6">
        <w:t xml:space="preserve">security has improved significantly </w:t>
      </w:r>
      <w:r w:rsidR="00477E6F" w:rsidRPr="003859B6">
        <w:t>in Indonesia</w:t>
      </w:r>
      <w:r w:rsidR="00BF0C91" w:rsidRPr="003859B6">
        <w:t xml:space="preserve"> since the early 1990s, but nearly 20 million people </w:t>
      </w:r>
      <w:r w:rsidR="0098317E" w:rsidRPr="003859B6">
        <w:t>remain</w:t>
      </w:r>
      <w:r w:rsidR="00BF0C91" w:rsidRPr="003859B6">
        <w:t xml:space="preserve"> undernourished.</w:t>
      </w:r>
      <w:r w:rsidR="009B219F" w:rsidRPr="003859B6">
        <w:t xml:space="preserve"> </w:t>
      </w:r>
      <w:r w:rsidR="006351B0" w:rsidRPr="003859B6">
        <w:t xml:space="preserve">Capture fisheries and aquaculture </w:t>
      </w:r>
      <w:r w:rsidRPr="003859B6">
        <w:t xml:space="preserve">are </w:t>
      </w:r>
      <w:r w:rsidR="006351B0" w:rsidRPr="003859B6">
        <w:t>important component</w:t>
      </w:r>
      <w:r w:rsidR="0098317E" w:rsidRPr="003859B6">
        <w:t>s</w:t>
      </w:r>
      <w:r w:rsidR="006351B0" w:rsidRPr="003859B6">
        <w:t xml:space="preserve"> of </w:t>
      </w:r>
      <w:r w:rsidR="00B813F4" w:rsidRPr="003859B6">
        <w:t xml:space="preserve">the </w:t>
      </w:r>
      <w:r w:rsidR="006351B0" w:rsidRPr="003859B6">
        <w:t>Indonesian diet</w:t>
      </w:r>
      <w:r w:rsidR="0037121B" w:rsidRPr="003859B6">
        <w:t>,</w:t>
      </w:r>
      <w:r w:rsidR="006351B0" w:rsidRPr="003859B6">
        <w:t xml:space="preserve"> and sustain livelihoods for about 20 million people. </w:t>
      </w:r>
    </w:p>
    <w:p w:rsidR="00762CD2" w:rsidRPr="003859B6" w:rsidRDefault="00B57222" w:rsidP="00510B7C">
      <w:pPr>
        <w:pStyle w:val="Num-DocParagraph"/>
        <w:numPr>
          <w:ilvl w:val="0"/>
          <w:numId w:val="26"/>
        </w:numPr>
      </w:pPr>
      <w:r w:rsidRPr="003859B6">
        <w:t xml:space="preserve">Seafood production in Indonesia is achieved at high cost to the country’s natural resources. </w:t>
      </w:r>
      <w:r w:rsidR="006A4628" w:rsidRPr="003859B6">
        <w:t xml:space="preserve">These costs are compounded by harvest capacity support and trade and investment restrictions, which also place added pressure on consumer prices. </w:t>
      </w:r>
    </w:p>
    <w:p w:rsidR="00762CD2" w:rsidRPr="003859B6" w:rsidRDefault="00006D14" w:rsidP="00510B7C">
      <w:pPr>
        <w:pStyle w:val="Num-DocParagraph"/>
        <w:numPr>
          <w:ilvl w:val="0"/>
          <w:numId w:val="26"/>
        </w:numPr>
      </w:pPr>
      <w:r w:rsidRPr="003859B6">
        <w:t xml:space="preserve">The </w:t>
      </w:r>
      <w:r w:rsidR="002E6296" w:rsidRPr="003859B6">
        <w:t xml:space="preserve">Indonesian </w:t>
      </w:r>
      <w:r w:rsidRPr="003859B6">
        <w:t>g</w:t>
      </w:r>
      <w:r w:rsidR="00380174" w:rsidRPr="003859B6">
        <w:t>overnment ha</w:t>
      </w:r>
      <w:r w:rsidR="00572B2B" w:rsidRPr="003859B6">
        <w:t xml:space="preserve">s </w:t>
      </w:r>
      <w:r w:rsidR="006A054A" w:rsidRPr="003859B6">
        <w:t>taken significant measures</w:t>
      </w:r>
      <w:r w:rsidR="00572B2B" w:rsidRPr="003859B6">
        <w:t xml:space="preserve"> to combat illegal fishing</w:t>
      </w:r>
      <w:r w:rsidR="00D06570" w:rsidRPr="003859B6">
        <w:t>. These</w:t>
      </w:r>
      <w:r w:rsidR="0041621C" w:rsidRPr="003859B6">
        <w:t xml:space="preserve"> will improve </w:t>
      </w:r>
      <w:r w:rsidR="006A054A" w:rsidRPr="003859B6">
        <w:t xml:space="preserve">both </w:t>
      </w:r>
      <w:r w:rsidR="0041621C" w:rsidRPr="003859B6">
        <w:t xml:space="preserve">the resource base of fisheries and </w:t>
      </w:r>
      <w:r w:rsidR="00B17E4B" w:rsidRPr="003859B6">
        <w:t xml:space="preserve">governmental </w:t>
      </w:r>
      <w:r w:rsidR="0041621C" w:rsidRPr="003859B6">
        <w:t>control</w:t>
      </w:r>
      <w:r w:rsidR="00B17E4B" w:rsidRPr="003859B6">
        <w:t>s</w:t>
      </w:r>
      <w:r w:rsidR="0041621C" w:rsidRPr="003859B6">
        <w:t xml:space="preserve"> </w:t>
      </w:r>
      <w:r w:rsidR="006A054A" w:rsidRPr="003859B6">
        <w:t>over</w:t>
      </w:r>
      <w:r w:rsidR="0041621C" w:rsidRPr="003859B6">
        <w:t xml:space="preserve"> operators</w:t>
      </w:r>
      <w:r w:rsidR="00B17E4B" w:rsidRPr="003859B6">
        <w:t>, but</w:t>
      </w:r>
      <w:r w:rsidR="0041621C" w:rsidRPr="003859B6">
        <w:t xml:space="preserve"> </w:t>
      </w:r>
      <w:r w:rsidR="00B17E4B" w:rsidRPr="003859B6">
        <w:t xml:space="preserve">nevertheless </w:t>
      </w:r>
      <w:r w:rsidR="0041621C" w:rsidRPr="003859B6">
        <w:t>need</w:t>
      </w:r>
      <w:r w:rsidR="00762CD2" w:rsidRPr="003859B6">
        <w:t xml:space="preserve"> to be</w:t>
      </w:r>
      <w:r w:rsidR="00510B7C" w:rsidRPr="003859B6">
        <w:t xml:space="preserve"> accompanied by increased regulation </w:t>
      </w:r>
      <w:r w:rsidR="00572B2B" w:rsidRPr="003859B6">
        <w:t xml:space="preserve">of </w:t>
      </w:r>
      <w:r w:rsidR="00380174" w:rsidRPr="003859B6">
        <w:t xml:space="preserve">the main </w:t>
      </w:r>
      <w:r w:rsidR="00572B2B" w:rsidRPr="003859B6">
        <w:t xml:space="preserve">domestic fisheries, notably </w:t>
      </w:r>
      <w:r w:rsidR="00380174" w:rsidRPr="003859B6">
        <w:t>with</w:t>
      </w:r>
      <w:r w:rsidR="00572B2B" w:rsidRPr="003859B6">
        <w:t xml:space="preserve"> </w:t>
      </w:r>
      <w:r w:rsidR="00380174" w:rsidRPr="003859B6">
        <w:t xml:space="preserve">the </w:t>
      </w:r>
      <w:r w:rsidR="00510B7C" w:rsidRPr="003859B6">
        <w:t xml:space="preserve">implementation </w:t>
      </w:r>
      <w:r w:rsidR="00380174" w:rsidRPr="003859B6">
        <w:t>of</w:t>
      </w:r>
      <w:r w:rsidR="00572B2B" w:rsidRPr="003859B6">
        <w:t xml:space="preserve"> long-term</w:t>
      </w:r>
      <w:r w:rsidR="00B52EB5" w:rsidRPr="003859B6">
        <w:t>,</w:t>
      </w:r>
      <w:r w:rsidR="00572B2B" w:rsidRPr="003859B6">
        <w:t xml:space="preserve"> measurable </w:t>
      </w:r>
      <w:r w:rsidR="00510B7C" w:rsidRPr="003859B6">
        <w:t xml:space="preserve">capture </w:t>
      </w:r>
      <w:r w:rsidR="00572B2B" w:rsidRPr="003859B6">
        <w:t xml:space="preserve">targets. </w:t>
      </w:r>
    </w:p>
    <w:p w:rsidR="00DE6333" w:rsidRPr="003859B6" w:rsidRDefault="00510B7C" w:rsidP="00510B7C">
      <w:pPr>
        <w:pStyle w:val="Num-DocParagraph"/>
        <w:numPr>
          <w:ilvl w:val="0"/>
          <w:numId w:val="26"/>
        </w:numPr>
      </w:pPr>
      <w:r w:rsidRPr="003859B6">
        <w:t xml:space="preserve">Stricter </w:t>
      </w:r>
      <w:r w:rsidR="00572B2B" w:rsidRPr="003859B6">
        <w:t>regulation of the aquaculture sub-sector</w:t>
      </w:r>
      <w:r w:rsidR="00DE6333" w:rsidRPr="003859B6">
        <w:t xml:space="preserve"> is also necessary</w:t>
      </w:r>
      <w:r w:rsidR="00D355C3" w:rsidRPr="003859B6">
        <w:t>. This should be</w:t>
      </w:r>
      <w:r w:rsidR="00572B2B" w:rsidRPr="003859B6">
        <w:t xml:space="preserve"> </w:t>
      </w:r>
      <w:r w:rsidR="00D355C3" w:rsidRPr="003859B6">
        <w:t>accompanied by</w:t>
      </w:r>
      <w:r w:rsidR="00572B2B" w:rsidRPr="003859B6">
        <w:t xml:space="preserve"> more comprehensive </w:t>
      </w:r>
      <w:r w:rsidR="00DE6333" w:rsidRPr="003859B6">
        <w:t xml:space="preserve">and regular </w:t>
      </w:r>
      <w:r w:rsidR="00572B2B" w:rsidRPr="003859B6">
        <w:t>impact assessment of large farm operations</w:t>
      </w:r>
      <w:r w:rsidR="00BE770B" w:rsidRPr="003859B6">
        <w:t>,</w:t>
      </w:r>
      <w:r w:rsidR="00D355C3" w:rsidRPr="003859B6">
        <w:t xml:space="preserve"> and </w:t>
      </w:r>
      <w:r w:rsidR="00572B2B" w:rsidRPr="003859B6">
        <w:t xml:space="preserve">clearer allocation of </w:t>
      </w:r>
      <w:r w:rsidR="00DE6333" w:rsidRPr="003859B6">
        <w:t xml:space="preserve">monitoring </w:t>
      </w:r>
      <w:r w:rsidR="00572B2B" w:rsidRPr="003859B6">
        <w:t xml:space="preserve">responsibilities </w:t>
      </w:r>
      <w:r w:rsidRPr="003859B6">
        <w:t>to improve monitoring efficiency</w:t>
      </w:r>
      <w:r w:rsidR="00572B2B" w:rsidRPr="003859B6">
        <w:t>.</w:t>
      </w:r>
    </w:p>
    <w:p w:rsidR="00DE6333" w:rsidRPr="003859B6" w:rsidRDefault="007958EB" w:rsidP="00254333">
      <w:pPr>
        <w:pStyle w:val="Num-DocParagraph"/>
        <w:numPr>
          <w:ilvl w:val="0"/>
          <w:numId w:val="26"/>
        </w:numPr>
      </w:pPr>
      <w:r w:rsidRPr="003859B6">
        <w:t xml:space="preserve">To </w:t>
      </w:r>
      <w:r w:rsidR="00933CD3" w:rsidRPr="003859B6">
        <w:t xml:space="preserve">enable efficiency </w:t>
      </w:r>
      <w:r w:rsidR="000107C7" w:rsidRPr="003859B6">
        <w:t>improvements</w:t>
      </w:r>
      <w:r w:rsidRPr="003859B6">
        <w:t xml:space="preserve"> </w:t>
      </w:r>
      <w:r w:rsidR="00933CD3" w:rsidRPr="003859B6">
        <w:t xml:space="preserve">to the sector </w:t>
      </w:r>
      <w:r w:rsidRPr="003859B6">
        <w:t xml:space="preserve">without increasing </w:t>
      </w:r>
      <w:r w:rsidR="00676495" w:rsidRPr="003859B6">
        <w:t xml:space="preserve">consumer </w:t>
      </w:r>
      <w:r w:rsidRPr="003859B6">
        <w:t>prices</w:t>
      </w:r>
      <w:r w:rsidR="00254333" w:rsidRPr="003859B6">
        <w:t xml:space="preserve"> or pressure on resources</w:t>
      </w:r>
      <w:r w:rsidRPr="003859B6">
        <w:t>,</w:t>
      </w:r>
      <w:r w:rsidRPr="003859B6" w:rsidDel="007958EB">
        <w:t xml:space="preserve"> </w:t>
      </w:r>
      <w:r w:rsidR="002E3C4C" w:rsidRPr="003859B6">
        <w:t xml:space="preserve">governmental </w:t>
      </w:r>
      <w:r w:rsidR="006A4628" w:rsidRPr="003859B6">
        <w:t xml:space="preserve">support should take the form of </w:t>
      </w:r>
      <w:r w:rsidR="000B4C03" w:rsidRPr="003859B6">
        <w:t>investment in</w:t>
      </w:r>
      <w:r w:rsidR="0098552C" w:rsidRPr="003859B6">
        <w:t xml:space="preserve"> R&amp;D, </w:t>
      </w:r>
      <w:r w:rsidR="008E0A4E" w:rsidRPr="003859B6">
        <w:rPr>
          <w:lang w:eastAsia="en-GB"/>
        </w:rPr>
        <w:t>transport</w:t>
      </w:r>
      <w:r w:rsidR="0098552C" w:rsidRPr="003859B6">
        <w:rPr>
          <w:lang w:eastAsia="en-GB"/>
        </w:rPr>
        <w:t xml:space="preserve"> </w:t>
      </w:r>
      <w:r w:rsidR="008E0A4E" w:rsidRPr="003859B6">
        <w:rPr>
          <w:lang w:eastAsia="en-GB"/>
        </w:rPr>
        <w:t xml:space="preserve">and energy provision </w:t>
      </w:r>
      <w:r w:rsidR="00BE770B" w:rsidRPr="003859B6">
        <w:t>infrastructure</w:t>
      </w:r>
      <w:r w:rsidR="00254333" w:rsidRPr="003859B6">
        <w:t xml:space="preserve">, together with </w:t>
      </w:r>
      <w:r w:rsidRPr="003859B6">
        <w:t xml:space="preserve">the provision of </w:t>
      </w:r>
      <w:r w:rsidR="000B4C03" w:rsidRPr="003859B6">
        <w:t xml:space="preserve">targeted </w:t>
      </w:r>
      <w:r w:rsidR="0037121B" w:rsidRPr="003859B6">
        <w:t xml:space="preserve">social safety nets and </w:t>
      </w:r>
      <w:r w:rsidRPr="003859B6">
        <w:t>training to enable</w:t>
      </w:r>
      <w:r w:rsidR="0037121B" w:rsidRPr="003859B6">
        <w:t xml:space="preserve"> the transition to more remunerative activities</w:t>
      </w:r>
      <w:r w:rsidR="000B4C03" w:rsidRPr="003859B6">
        <w:t xml:space="preserve">. </w:t>
      </w:r>
    </w:p>
    <w:p w:rsidR="00B02A67" w:rsidRPr="003859B6" w:rsidRDefault="00B02A67" w:rsidP="00957909">
      <w:pPr>
        <w:pStyle w:val="Heading2"/>
        <w:pageBreakBefore/>
      </w:pPr>
      <w:bookmarkStart w:id="6" w:name="_Toc472936620"/>
      <w:bookmarkStart w:id="7" w:name="_Toc472954968"/>
      <w:bookmarkStart w:id="8" w:name="_Toc474487624"/>
      <w:bookmarkStart w:id="9" w:name="_Toc472354573"/>
      <w:r w:rsidRPr="003859B6">
        <w:t xml:space="preserve">1. </w:t>
      </w:r>
      <w:r w:rsidR="006A054A" w:rsidRPr="003859B6">
        <w:t>Contribution of f</w:t>
      </w:r>
      <w:r w:rsidR="00E13652" w:rsidRPr="003859B6">
        <w:t>isheries and aquaculture to f</w:t>
      </w:r>
      <w:r w:rsidR="00732755" w:rsidRPr="003859B6">
        <w:t xml:space="preserve">ood security </w:t>
      </w:r>
      <w:r w:rsidRPr="003859B6">
        <w:t>in Indonesia</w:t>
      </w:r>
      <w:bookmarkEnd w:id="6"/>
      <w:bookmarkEnd w:id="7"/>
      <w:bookmarkEnd w:id="8"/>
      <w:r w:rsidRPr="003859B6">
        <w:t xml:space="preserve"> </w:t>
      </w:r>
      <w:bookmarkEnd w:id="9"/>
    </w:p>
    <w:p w:rsidR="00B02A67" w:rsidRPr="003859B6" w:rsidRDefault="00B02A67" w:rsidP="00B02A67">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1</w:instrText>
      </w:r>
      <w:r w:rsidRPr="003859B6">
        <w:fldChar w:fldCharType="end"/>
      </w:r>
      <w:r w:rsidRPr="003859B6">
        <w:instrText>.</w:instrText>
      </w:r>
      <w:r w:rsidRPr="003859B6">
        <w:tab/>
      </w:r>
      <w:r w:rsidRPr="003859B6">
        <w:fldChar w:fldCharType="end"/>
      </w:r>
      <w:r w:rsidRPr="003859B6">
        <w:t>In Indonesia, as in most Southeast Asian countries, food security and nutrition remain key policy concerns. Despite significant economic development and reductions in poverty and undernourishment rates, the country still counts 19.4 million peo</w:t>
      </w:r>
      <w:r w:rsidR="00F56CC7" w:rsidRPr="003859B6">
        <w:t>ple as undernourished (FAO, 2015</w:t>
      </w:r>
      <w:r w:rsidRPr="003859B6">
        <w:t>), the largest absolute number in the region. Indicators of observed malnutrition also re</w:t>
      </w:r>
      <w:r w:rsidR="00A035AC" w:rsidRPr="003859B6">
        <w:t>main at alarming levels: in 2014,</w:t>
      </w:r>
      <w:r w:rsidRPr="003859B6">
        <w:t xml:space="preserve"> more than a third of children under </w:t>
      </w:r>
      <w:r w:rsidR="00AA2554" w:rsidRPr="003859B6">
        <w:t xml:space="preserve">the age of five </w:t>
      </w:r>
      <w:r w:rsidRPr="003859B6">
        <w:t>were stunted</w:t>
      </w:r>
      <w:r w:rsidR="008D6AF0" w:rsidRPr="003859B6">
        <w:t>,</w:t>
      </w:r>
      <w:r w:rsidRPr="003859B6">
        <w:t xml:space="preserve"> while obesity is a growing concern, with </w:t>
      </w:r>
      <w:r w:rsidR="00A035AC" w:rsidRPr="003859B6">
        <w:t>around</w:t>
      </w:r>
      <w:r w:rsidRPr="003859B6">
        <w:t xml:space="preserve"> one </w:t>
      </w:r>
      <w:r w:rsidR="00A035AC" w:rsidRPr="003859B6">
        <w:t>in ten</w:t>
      </w:r>
      <w:r w:rsidRPr="003859B6">
        <w:t xml:space="preserve"> childr</w:t>
      </w:r>
      <w:r w:rsidR="00B3358C" w:rsidRPr="003859B6">
        <w:t xml:space="preserve">en </w:t>
      </w:r>
      <w:proofErr w:type="gramStart"/>
      <w:r w:rsidR="00B3358C" w:rsidRPr="003859B6">
        <w:t>under</w:t>
      </w:r>
      <w:proofErr w:type="gramEnd"/>
      <w:r w:rsidR="00B3358C" w:rsidRPr="003859B6">
        <w:t xml:space="preserve"> </w:t>
      </w:r>
      <w:r w:rsidR="00D05DF9" w:rsidRPr="003859B6">
        <w:t xml:space="preserve">five </w:t>
      </w:r>
      <w:r w:rsidR="00AA2554" w:rsidRPr="003859B6">
        <w:t xml:space="preserve">considered to be </w:t>
      </w:r>
      <w:r w:rsidR="00B3358C" w:rsidRPr="003859B6">
        <w:t>overweight (WHO, 2015</w:t>
      </w:r>
      <w:r w:rsidRPr="003859B6">
        <w:t>). The challenge of eliminating food insecurity is wide</w:t>
      </w:r>
      <w:r w:rsidR="00D05DF9" w:rsidRPr="003859B6">
        <w:t>-</w:t>
      </w:r>
      <w:r w:rsidRPr="003859B6">
        <w:t>ranging, multi-faceted and linked to other major policy agendas, including those of tackling poverty, using scarce natural resources sustainably, improving sanitation conditions, raising education levels and mitigating the effects of climate change. This report focuses on those aspects of the challenge that can directly be affected by fisheries and aquaculture policies.</w:t>
      </w:r>
    </w:p>
    <w:p w:rsidR="006955F8" w:rsidRPr="003859B6" w:rsidRDefault="006955F8" w:rsidP="00B02A67">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2</w:instrText>
      </w:r>
      <w:r w:rsidRPr="003859B6">
        <w:fldChar w:fldCharType="end"/>
      </w:r>
      <w:r w:rsidRPr="003859B6">
        <w:instrText>.</w:instrText>
      </w:r>
      <w:r w:rsidRPr="003859B6">
        <w:tab/>
      </w:r>
      <w:r w:rsidRPr="003859B6">
        <w:fldChar w:fldCharType="end"/>
      </w:r>
      <w:r w:rsidR="00B02A67" w:rsidRPr="003859B6">
        <w:t>Capture fisheries and aquaculture</w:t>
      </w:r>
      <w:r w:rsidR="00C330D3" w:rsidRPr="003859B6">
        <w:t xml:space="preserve"> already</w:t>
      </w:r>
      <w:r w:rsidR="00B02A67" w:rsidRPr="003859B6">
        <w:t xml:space="preserve"> play a key role for food security in Indonesia. </w:t>
      </w:r>
      <w:r w:rsidR="005329CA" w:rsidRPr="003859B6">
        <w:t>The sector supplies an important component of Indonesian diet and nutrition</w:t>
      </w:r>
      <w:r w:rsidR="00AA2554" w:rsidRPr="003859B6">
        <w:t>,</w:t>
      </w:r>
      <w:r w:rsidR="005329CA" w:rsidRPr="003859B6">
        <w:t xml:space="preserve"> and sustains livelihoods for about 20 million people, including </w:t>
      </w:r>
      <w:r w:rsidR="008D6AF0" w:rsidRPr="003859B6">
        <w:t xml:space="preserve">those </w:t>
      </w:r>
      <w:r w:rsidR="005329CA" w:rsidRPr="003859B6">
        <w:t xml:space="preserve">in poor and remote areas of the country. </w:t>
      </w:r>
      <w:r w:rsidR="00BF767A" w:rsidRPr="003859B6">
        <w:t xml:space="preserve">At the same time, the </w:t>
      </w:r>
      <w:r w:rsidR="00AA2554" w:rsidRPr="003859B6">
        <w:t xml:space="preserve">sector has </w:t>
      </w:r>
      <w:r w:rsidR="00BF767A" w:rsidRPr="003859B6">
        <w:t xml:space="preserve">potential </w:t>
      </w:r>
      <w:r w:rsidR="00AA2554" w:rsidRPr="003859B6">
        <w:t>to further contribute to food security,</w:t>
      </w:r>
      <w:r w:rsidR="00BF767A" w:rsidRPr="003859B6">
        <w:t xml:space="preserve"> as t</w:t>
      </w:r>
      <w:r w:rsidR="00B02A67" w:rsidRPr="003859B6">
        <w:t>he country is th</w:t>
      </w:r>
      <w:r w:rsidR="00BF767A" w:rsidRPr="003859B6">
        <w:t>e world’s largest archipelago, t</w:t>
      </w:r>
      <w:r w:rsidR="00B02A67" w:rsidRPr="003859B6">
        <w:t>hree</w:t>
      </w:r>
      <w:r w:rsidR="00507CDA" w:rsidRPr="003859B6">
        <w:t>-</w:t>
      </w:r>
      <w:r w:rsidR="00B02A67" w:rsidRPr="003859B6">
        <w:t>quarters of its territory is marine environment</w:t>
      </w:r>
      <w:r w:rsidR="00AA2554" w:rsidRPr="003859B6">
        <w:t>,</w:t>
      </w:r>
      <w:r w:rsidR="00B02A67" w:rsidRPr="003859B6">
        <w:t xml:space="preserve"> and it is home to some of the richest and most diverse marine resources. Indonesia recently bec</w:t>
      </w:r>
      <w:r w:rsidR="008D6AF0" w:rsidRPr="003859B6">
        <w:t>a</w:t>
      </w:r>
      <w:r w:rsidR="00B02A67" w:rsidRPr="003859B6">
        <w:t>me the</w:t>
      </w:r>
      <w:r w:rsidR="008D6AF0" w:rsidRPr="003859B6">
        <w:t xml:space="preserve"> world’s</w:t>
      </w:r>
      <w:r w:rsidR="00B02A67" w:rsidRPr="003859B6">
        <w:t xml:space="preserve"> largest producer of seafood after </w:t>
      </w:r>
      <w:r w:rsidR="0039451B" w:rsidRPr="003859B6">
        <w:t xml:space="preserve">the People’s Republic of </w:t>
      </w:r>
      <w:r w:rsidR="00B02A67" w:rsidRPr="003859B6">
        <w:t>China</w:t>
      </w:r>
      <w:r w:rsidR="006369D4" w:rsidRPr="003859B6">
        <w:t xml:space="preserve"> (FAO, 2016b)</w:t>
      </w:r>
      <w:r w:rsidR="00B02A67" w:rsidRPr="003859B6">
        <w:t xml:space="preserve">. </w:t>
      </w:r>
      <w:r w:rsidR="00C330D3" w:rsidRPr="003859B6">
        <w:t xml:space="preserve"> </w:t>
      </w:r>
    </w:p>
    <w:p w:rsidR="00B02A67" w:rsidRPr="003859B6" w:rsidRDefault="006955F8" w:rsidP="00B02A67">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3</w:instrText>
      </w:r>
      <w:r w:rsidRPr="003859B6">
        <w:fldChar w:fldCharType="end"/>
      </w:r>
      <w:r w:rsidRPr="003859B6">
        <w:instrText>.</w:instrText>
      </w:r>
      <w:r w:rsidRPr="003859B6">
        <w:tab/>
      </w:r>
      <w:r w:rsidRPr="003859B6">
        <w:fldChar w:fldCharType="end"/>
      </w:r>
      <w:r w:rsidR="00C330D3" w:rsidRPr="003859B6">
        <w:t xml:space="preserve">This </w:t>
      </w:r>
      <w:r w:rsidR="00980139" w:rsidRPr="003859B6">
        <w:t xml:space="preserve">first </w:t>
      </w:r>
      <w:r w:rsidR="00C330D3" w:rsidRPr="003859B6">
        <w:t>section summari</w:t>
      </w:r>
      <w:r w:rsidR="008D6AF0" w:rsidRPr="003859B6">
        <w:t>s</w:t>
      </w:r>
      <w:r w:rsidR="00C330D3" w:rsidRPr="003859B6">
        <w:t>e</w:t>
      </w:r>
      <w:r w:rsidR="00BF767A" w:rsidRPr="003859B6">
        <w:t>s the food security situation in</w:t>
      </w:r>
      <w:r w:rsidR="00C330D3" w:rsidRPr="003859B6">
        <w:t xml:space="preserve"> Indonesia</w:t>
      </w:r>
      <w:r w:rsidR="00AA2554" w:rsidRPr="003859B6">
        <w:t>;</w:t>
      </w:r>
      <w:r w:rsidR="00C330D3" w:rsidRPr="003859B6">
        <w:t xml:space="preserve"> describes how fisheries and aquaculture contribute </w:t>
      </w:r>
      <w:r w:rsidR="008D6AF0" w:rsidRPr="003859B6">
        <w:t xml:space="preserve">to </w:t>
      </w:r>
      <w:r w:rsidR="00C330D3" w:rsidRPr="003859B6">
        <w:t>nutritious food</w:t>
      </w:r>
      <w:r w:rsidR="008D6AF0" w:rsidRPr="003859B6">
        <w:t xml:space="preserve"> supplies</w:t>
      </w:r>
      <w:r w:rsidR="00C330D3" w:rsidRPr="003859B6">
        <w:t xml:space="preserve"> and</w:t>
      </w:r>
      <w:r w:rsidR="008D6AF0" w:rsidRPr="003859B6">
        <w:t xml:space="preserve"> to</w:t>
      </w:r>
      <w:r w:rsidR="00C330D3" w:rsidRPr="003859B6">
        <w:t xml:space="preserve"> incomes, especially for the poor</w:t>
      </w:r>
      <w:r w:rsidR="00AA2554" w:rsidRPr="003859B6">
        <w:t>;</w:t>
      </w:r>
      <w:r w:rsidR="00C330D3" w:rsidRPr="003859B6">
        <w:t xml:space="preserve"> and </w:t>
      </w:r>
      <w:r w:rsidR="00BD3783" w:rsidRPr="003859B6">
        <w:t>analyses</w:t>
      </w:r>
      <w:r w:rsidR="00980139" w:rsidRPr="003859B6">
        <w:t xml:space="preserve"> </w:t>
      </w:r>
      <w:r w:rsidR="00BF767A" w:rsidRPr="003859B6">
        <w:t>the Indonesian</w:t>
      </w:r>
      <w:r w:rsidR="00C330D3" w:rsidRPr="003859B6">
        <w:t xml:space="preserve"> government strategy for the sector in light of OECD policy recommendations for food security.</w:t>
      </w:r>
    </w:p>
    <w:p w:rsidR="00B02A67" w:rsidRPr="003859B6" w:rsidRDefault="002E3C4C" w:rsidP="00B02A67">
      <w:pPr>
        <w:pStyle w:val="Heading3"/>
      </w:pPr>
      <w:bookmarkStart w:id="10" w:name="_Toc472354574"/>
      <w:bookmarkStart w:id="11" w:name="_Toc472936621"/>
      <w:bookmarkStart w:id="12" w:name="_Toc472954969"/>
      <w:bookmarkStart w:id="13" w:name="_Toc474487625"/>
      <w:r w:rsidRPr="003859B6">
        <w:t xml:space="preserve">Food </w:t>
      </w:r>
      <w:r w:rsidR="00B02A67" w:rsidRPr="003859B6">
        <w:t xml:space="preserve">insecurity and malnutrition </w:t>
      </w:r>
      <w:bookmarkEnd w:id="10"/>
      <w:r w:rsidR="008D6AF0" w:rsidRPr="003859B6">
        <w:t>in Indonesia</w:t>
      </w:r>
      <w:bookmarkEnd w:id="11"/>
      <w:bookmarkEnd w:id="12"/>
      <w:bookmarkEnd w:id="13"/>
    </w:p>
    <w:p w:rsidR="00B02A67" w:rsidRPr="003859B6" w:rsidRDefault="00B02A67" w:rsidP="00B02A67">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4</w:instrText>
      </w:r>
      <w:r w:rsidRPr="003859B6">
        <w:fldChar w:fldCharType="end"/>
      </w:r>
      <w:r w:rsidRPr="003859B6">
        <w:instrText>.</w:instrText>
      </w:r>
      <w:r w:rsidRPr="003859B6">
        <w:tab/>
      </w:r>
      <w:r w:rsidRPr="003859B6">
        <w:fldChar w:fldCharType="end"/>
      </w:r>
      <w:r w:rsidR="00BF0C91" w:rsidRPr="003859B6" w:rsidDel="00BF0C91">
        <w:t xml:space="preserve"> </w:t>
      </w:r>
      <w:r w:rsidRPr="003859B6">
        <w:t xml:space="preserve">According to the FAO definition agreed at the 1996 World Food Summit, </w:t>
      </w:r>
      <w:r w:rsidR="00AF34D6" w:rsidRPr="003859B6">
        <w:t xml:space="preserve">and expanded upon at the 2001 Summit, </w:t>
      </w:r>
      <w:r w:rsidRPr="003859B6">
        <w:t>food security exists when all people, at all times, have physical, social and economic access to sufficient, safe and nutritious food to meet their dietary needs and food preferences for an active and healthy life.</w:t>
      </w:r>
      <w:r w:rsidRPr="003859B6">
        <w:rPr>
          <w:vertAlign w:val="superscript"/>
        </w:rPr>
        <w:footnoteReference w:id="2"/>
      </w:r>
      <w:r w:rsidRPr="003859B6">
        <w:t xml:space="preserve"> This definition gives rise to four dimensions of food security. It suggests that people will only be food secure when sufficient food is available, </w:t>
      </w:r>
      <w:r w:rsidR="008D6AF0" w:rsidRPr="003859B6">
        <w:t xml:space="preserve">when </w:t>
      </w:r>
      <w:r w:rsidRPr="003859B6">
        <w:t xml:space="preserve">they have access to </w:t>
      </w:r>
      <w:r w:rsidR="008D6AF0" w:rsidRPr="003859B6">
        <w:t>this supply of food</w:t>
      </w:r>
      <w:r w:rsidRPr="003859B6">
        <w:t xml:space="preserve">, and </w:t>
      </w:r>
      <w:r w:rsidR="008D6AF0" w:rsidRPr="003859B6">
        <w:t xml:space="preserve">that </w:t>
      </w:r>
      <w:r w:rsidRPr="003859B6">
        <w:t>it is well utilised, in a stable way, over time.</w:t>
      </w:r>
      <w:r w:rsidRPr="003859B6" w:rsidDel="001B0751">
        <w:t xml:space="preserve"> </w:t>
      </w:r>
      <w:r w:rsidRPr="003859B6">
        <w:t xml:space="preserve">Food insecurity may therefore arise from disruptions in food availability that can result from pest outbreaks, climatic events, conflicts or barriers to trade; problems in accessing food as a result of price or income shocks and volatility; or from inadequate use of food, notably in terms of diet composition, which is influenced by cultural, religious and social norms, as well as anticipation of future shocks. Nutritional outcomes also </w:t>
      </w:r>
      <w:r w:rsidR="00B57222" w:rsidRPr="003859B6">
        <w:t>depend on</w:t>
      </w:r>
      <w:r w:rsidRPr="003859B6">
        <w:t xml:space="preserve"> wider determinants of health, including maternal and child care, water and sanitation, and health services</w:t>
      </w:r>
      <w:r w:rsidR="00F90C92" w:rsidRPr="003859B6">
        <w:t xml:space="preserve"> (OECD, 2013)</w:t>
      </w:r>
      <w:r w:rsidRPr="003859B6">
        <w:t xml:space="preserve">. </w:t>
      </w:r>
    </w:p>
    <w:p w:rsidR="00B02A67" w:rsidRPr="003859B6" w:rsidRDefault="00B02A67" w:rsidP="00B02A67">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5</w:instrText>
      </w:r>
      <w:r w:rsidRPr="003859B6">
        <w:fldChar w:fldCharType="end"/>
      </w:r>
      <w:r w:rsidRPr="003859B6">
        <w:instrText>.</w:instrText>
      </w:r>
      <w:r w:rsidRPr="003859B6">
        <w:tab/>
      </w:r>
      <w:r w:rsidRPr="003859B6">
        <w:fldChar w:fldCharType="end"/>
      </w:r>
      <w:r w:rsidRPr="003859B6">
        <w:t xml:space="preserve">The multi-dimensional nature of food security means that several indicators </w:t>
      </w:r>
      <w:r w:rsidR="00507CDA" w:rsidRPr="003859B6">
        <w:t>are required</w:t>
      </w:r>
      <w:r w:rsidRPr="003859B6">
        <w:t xml:space="preserve"> to capture current and past levels of food security. The</w:t>
      </w:r>
      <w:r w:rsidR="00BF767A" w:rsidRPr="003859B6">
        <w:t xml:space="preserve"> most commonly used indicator</w:t>
      </w:r>
      <w:r w:rsidRPr="003859B6">
        <w:t xml:space="preserve"> </w:t>
      </w:r>
      <w:r w:rsidR="00507CDA" w:rsidRPr="003859B6">
        <w:t xml:space="preserve">is </w:t>
      </w:r>
      <w:r w:rsidRPr="003859B6">
        <w:t>the FAO prevalence of undernourishment, which compares estimated average calorie consumption with energy requirement norms and observed child growth indicators</w:t>
      </w:r>
      <w:r w:rsidR="006C5933" w:rsidRPr="003859B6">
        <w:t>, using data</w:t>
      </w:r>
      <w:r w:rsidRPr="003859B6">
        <w:t xml:space="preserve"> reported by the WHO.</w:t>
      </w:r>
    </w:p>
    <w:p w:rsidR="0019465B" w:rsidRPr="003859B6" w:rsidRDefault="0077031D" w:rsidP="00B02A67">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6</w:instrText>
      </w:r>
      <w:r w:rsidRPr="003859B6">
        <w:fldChar w:fldCharType="end"/>
      </w:r>
      <w:r w:rsidRPr="003859B6">
        <w:instrText>.</w:instrText>
      </w:r>
      <w:r w:rsidRPr="003859B6">
        <w:tab/>
      </w:r>
      <w:r w:rsidRPr="003859B6">
        <w:fldChar w:fldCharType="end"/>
      </w:r>
      <w:r w:rsidR="00B02A67" w:rsidRPr="003859B6">
        <w:t>In Indonesia, as in most ASEAN nations, the rate of undernourishment has improved significantly since the early 1990s, dropping from almost 20% to slightly more than 7%, although</w:t>
      </w:r>
      <w:r w:rsidR="00507CDA" w:rsidRPr="003859B6">
        <w:t xml:space="preserve"> due to</w:t>
      </w:r>
      <w:r w:rsidR="006C5933" w:rsidRPr="003859B6">
        <w:t xml:space="preserve"> the 1997 Asian Financial Crisis</w:t>
      </w:r>
      <w:r w:rsidR="00507CDA" w:rsidRPr="003859B6">
        <w:t>,</w:t>
      </w:r>
      <w:r w:rsidR="006C5933" w:rsidRPr="003859B6">
        <w:t xml:space="preserve"> this </w:t>
      </w:r>
      <w:r w:rsidR="009031C9" w:rsidRPr="003859B6">
        <w:t xml:space="preserve">decline </w:t>
      </w:r>
      <w:r w:rsidR="00507CDA" w:rsidRPr="003859B6">
        <w:t xml:space="preserve">has not been </w:t>
      </w:r>
      <w:r w:rsidR="00B02A67" w:rsidRPr="003859B6">
        <w:t>not linear</w:t>
      </w:r>
      <w:r w:rsidR="002C7E76" w:rsidRPr="003859B6">
        <w:t xml:space="preserve"> (FAO, 2015</w:t>
      </w:r>
      <w:r w:rsidR="00B02A67" w:rsidRPr="003859B6">
        <w:t>)</w:t>
      </w:r>
      <w:r w:rsidR="006955F8" w:rsidRPr="003859B6">
        <w:rPr>
          <w:rStyle w:val="FootnoteReference"/>
        </w:rPr>
        <w:footnoteReference w:id="3"/>
      </w:r>
      <w:r w:rsidR="00BF767A" w:rsidRPr="003859B6">
        <w:t>.</w:t>
      </w:r>
      <w:r w:rsidR="00B02A67" w:rsidRPr="003859B6">
        <w:t xml:space="preserve"> Indonesia has experienced steady economic growth</w:t>
      </w:r>
      <w:r w:rsidR="00507CDA" w:rsidRPr="003859B6">
        <w:t>,</w:t>
      </w:r>
      <w:r w:rsidR="00B02A67" w:rsidRPr="003859B6">
        <w:t xml:space="preserve"> with overall poverty rates falling </w:t>
      </w:r>
      <w:r w:rsidR="006C5933" w:rsidRPr="003859B6">
        <w:t>7%</w:t>
      </w:r>
      <w:r w:rsidR="00B02A67" w:rsidRPr="003859B6">
        <w:t xml:space="preserve"> from 2002 to just above 11% in 2014</w:t>
      </w:r>
      <w:r w:rsidR="006C5933" w:rsidRPr="003859B6">
        <w:t>.</w:t>
      </w:r>
      <w:r w:rsidR="00B02A67" w:rsidRPr="003859B6">
        <w:t xml:space="preserve"> </w:t>
      </w:r>
      <w:r w:rsidR="00490502" w:rsidRPr="003859B6">
        <w:t>G</w:t>
      </w:r>
      <w:r w:rsidR="00B02A67" w:rsidRPr="003859B6">
        <w:t xml:space="preserve">ross national income per capita rose from USD 720 to USD 3 600  over the same time period </w:t>
      </w:r>
      <w:r w:rsidR="00B02A67" w:rsidRPr="003859B6">
        <w:fldChar w:fldCharType="begin"/>
      </w:r>
      <w:r w:rsidR="00B02A67" w:rsidRPr="003859B6">
        <w:instrText xml:space="preserve"> ADDIN ZOTERO_ITEM CSL_CITATION {"citationID":"qlcTz8fc","properties":{"formattedCitation":"(IFPRI 2012)","plainCitation":"(IFPRI 2012)"},"citationItems":[{"id":3001,"uris":["http://zotero.org/users/104709/items/GKSAPIFX"],"uri":["http://zotero.org/users/104709/items/GKSAPIFX"],"itemData":{"id":3001,"type":"webpage","title":"Indonesia","container-title":"Food Security Portal","URL":"http://www.foodsecurityportal.org/indonesia","author":[{"literal":"IFPRI"}],"issued":{"date-parts":[["2012"]]},"accessed":{"date-parts":[["2015",10,7]]}}}],"schema":"https://github.com/citation-style-language/schema/raw/master/csl-citation.json"} </w:instrText>
      </w:r>
      <w:r w:rsidR="00B02A67" w:rsidRPr="003859B6">
        <w:fldChar w:fldCharType="separate"/>
      </w:r>
      <w:r w:rsidR="00B02A67" w:rsidRPr="003859B6">
        <w:t>(</w:t>
      </w:r>
      <w:r w:rsidR="00204574" w:rsidRPr="003859B6">
        <w:t>Indonesia</w:t>
      </w:r>
      <w:r w:rsidR="006C37BC" w:rsidRPr="003859B6">
        <w:t xml:space="preserve"> Investments</w:t>
      </w:r>
      <w:r w:rsidR="00B02A67" w:rsidRPr="003859B6">
        <w:t>, 2016</w:t>
      </w:r>
      <w:r w:rsidR="006C37BC" w:rsidRPr="003859B6">
        <w:t>b</w:t>
      </w:r>
      <w:r w:rsidR="00B02A67" w:rsidRPr="003859B6">
        <w:t>)</w:t>
      </w:r>
      <w:r w:rsidR="00B02A67" w:rsidRPr="003859B6">
        <w:fldChar w:fldCharType="end"/>
      </w:r>
      <w:r w:rsidR="00B02A67" w:rsidRPr="003859B6">
        <w:t xml:space="preserve">. </w:t>
      </w:r>
      <w:r w:rsidRPr="003859B6">
        <w:t xml:space="preserve">This trend is foreseen to continue. Based on FAO projections for future food availability, the OECD projects that undernourishment will </w:t>
      </w:r>
      <w:r w:rsidR="00507CDA" w:rsidRPr="003859B6">
        <w:t xml:space="preserve">decline </w:t>
      </w:r>
      <w:r w:rsidRPr="003859B6">
        <w:t xml:space="preserve">to just over 3% in 2025 (Figure </w:t>
      </w:r>
      <w:r w:rsidR="00291FE8" w:rsidRPr="003859B6">
        <w:t>1</w:t>
      </w:r>
      <w:r w:rsidR="00936FCD" w:rsidRPr="003859B6">
        <w:t>)</w:t>
      </w:r>
      <w:r w:rsidRPr="003859B6">
        <w:t xml:space="preserve">. </w:t>
      </w:r>
    </w:p>
    <w:p w:rsidR="00DD06A8" w:rsidRPr="003859B6" w:rsidRDefault="0077031D" w:rsidP="00DD06A8">
      <w:pPr>
        <w:pStyle w:val="FigureTitle"/>
      </w:pPr>
      <w:r w:rsidRPr="003859B6">
        <w:fldChar w:fldCharType="begin"/>
      </w:r>
      <w:r w:rsidRPr="003859B6">
        <w:instrText xml:space="preserve"> MACROBUTTON NUMBERING Figure </w:instrText>
      </w:r>
      <w:r w:rsidRPr="003859B6">
        <w:fldChar w:fldCharType="begin"/>
      </w:r>
      <w:r w:rsidRPr="003859B6">
        <w:instrText xml:space="preserve"> SEQ  figure</w:instrText>
      </w:r>
      <w:r w:rsidRPr="003859B6">
        <w:fldChar w:fldCharType="separate"/>
      </w:r>
      <w:r w:rsidR="003859B6">
        <w:rPr>
          <w:noProof/>
        </w:rPr>
        <w:instrText>1</w:instrText>
      </w:r>
      <w:r w:rsidRPr="003859B6">
        <w:fldChar w:fldCharType="end"/>
      </w:r>
      <w:r w:rsidRPr="003859B6">
        <w:instrText>.</w:instrText>
      </w:r>
      <w:r w:rsidRPr="003859B6">
        <w:tab/>
      </w:r>
      <w:r w:rsidRPr="003859B6">
        <w:fldChar w:fldCharType="end"/>
      </w:r>
      <w:r w:rsidRPr="003859B6">
        <w:t>Selected food insecurity indicators in Indonesia, 1991-2025 (projection)</w:t>
      </w:r>
      <w:r w:rsidR="00DD06A8" w:rsidRPr="003859B6">
        <w:t xml:space="preserve"> </w:t>
      </w:r>
      <w:r w:rsidR="00DD06A8" w:rsidRPr="003859B6">
        <w:fldChar w:fldCharType="begin"/>
      </w:r>
      <w:r w:rsidR="00DD06A8" w:rsidRPr="003859B6">
        <w:instrText xml:space="preserve"> TC \f f \l 2 "</w:instrText>
      </w:r>
      <w:bookmarkStart w:id="14" w:name="_Toc472354564"/>
      <w:bookmarkStart w:id="15" w:name="_Toc472936611"/>
      <w:bookmarkStart w:id="16" w:name="_Toc472951204"/>
      <w:bookmarkStart w:id="17" w:name="_Toc473280378"/>
      <w:r w:rsidR="00DD06A8" w:rsidRPr="003859B6">
        <w:instrText xml:space="preserve">Figure </w:instrText>
      </w:r>
      <w:r w:rsidR="007A4B66" w:rsidRPr="003859B6">
        <w:instrText>1</w:instrText>
      </w:r>
      <w:r w:rsidR="00DD06A8" w:rsidRPr="003859B6">
        <w:instrText>. Selected food insecurity indicators in Indonesia, 1991-2025 (projection)</w:instrText>
      </w:r>
      <w:bookmarkEnd w:id="14"/>
      <w:bookmarkEnd w:id="15"/>
      <w:bookmarkEnd w:id="16"/>
      <w:bookmarkEnd w:id="17"/>
      <w:r w:rsidR="00DD06A8" w:rsidRPr="003859B6">
        <w:instrText xml:space="preserve">"  </w:instrText>
      </w:r>
      <w:r w:rsidR="00DD06A8" w:rsidRPr="003859B6">
        <w:fldChar w:fldCharType="end"/>
      </w:r>
    </w:p>
    <w:p w:rsidR="0077031D" w:rsidRPr="003859B6" w:rsidRDefault="00FE3A1D" w:rsidP="00B02A67">
      <w:pPr>
        <w:pStyle w:val="Num-DocParagraph"/>
      </w:pPr>
      <w:r w:rsidRPr="003859B6">
        <w:rPr>
          <w:noProof/>
          <w:lang w:eastAsia="en-GB"/>
        </w:rPr>
        <w:drawing>
          <wp:inline distT="0" distB="0" distL="0" distR="0" wp14:anchorId="1F2DE925" wp14:editId="7EC4FB06">
            <wp:extent cx="5552138" cy="2550098"/>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7031D" w:rsidRPr="003859B6" w:rsidRDefault="0077031D" w:rsidP="0077031D">
      <w:pPr>
        <w:pStyle w:val="FigureNote"/>
      </w:pPr>
      <w:r w:rsidRPr="003859B6">
        <w:t>S</w:t>
      </w:r>
      <w:r w:rsidR="00E165A9" w:rsidRPr="003859B6">
        <w:t xml:space="preserve">ource: </w:t>
      </w:r>
      <w:r w:rsidR="00072CC3" w:rsidRPr="003859B6">
        <w:t xml:space="preserve">OECD calculations based on </w:t>
      </w:r>
      <w:r w:rsidR="00E165A9" w:rsidRPr="003859B6">
        <w:t>FAO (2015</w:t>
      </w:r>
      <w:r w:rsidRPr="003859B6">
        <w:t>)</w:t>
      </w:r>
      <w:r w:rsidR="00507CDA" w:rsidRPr="003859B6">
        <w:t>.</w:t>
      </w:r>
    </w:p>
    <w:p w:rsidR="00B02A67" w:rsidRPr="003859B6" w:rsidRDefault="0019465B" w:rsidP="00B02A67">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7</w:instrText>
      </w:r>
      <w:r w:rsidRPr="003859B6">
        <w:fldChar w:fldCharType="end"/>
      </w:r>
      <w:r w:rsidRPr="003859B6">
        <w:instrText>.</w:instrText>
      </w:r>
      <w:r w:rsidRPr="003859B6">
        <w:tab/>
      </w:r>
      <w:r w:rsidRPr="003859B6">
        <w:fldChar w:fldCharType="end"/>
      </w:r>
      <w:r w:rsidR="00B02A67" w:rsidRPr="003859B6">
        <w:t xml:space="preserve">In spite of this progress, </w:t>
      </w:r>
      <w:r w:rsidR="00BF0C91" w:rsidRPr="003859B6">
        <w:t>challenges remain</w:t>
      </w:r>
      <w:r w:rsidR="00B02A67" w:rsidRPr="003859B6">
        <w:t xml:space="preserve">. </w:t>
      </w:r>
      <w:r w:rsidR="00BD3783" w:rsidRPr="003859B6">
        <w:t>While nearly 20</w:t>
      </w:r>
      <w:r w:rsidR="00BD714F" w:rsidRPr="003859B6">
        <w:t xml:space="preserve"> million people are</w:t>
      </w:r>
      <w:r w:rsidR="00204574" w:rsidRPr="003859B6">
        <w:t xml:space="preserve"> still undernourished (FAO, 2015</w:t>
      </w:r>
      <w:r w:rsidR="00BD714F" w:rsidRPr="003859B6">
        <w:t>)</w:t>
      </w:r>
      <w:r w:rsidR="00BD3783" w:rsidRPr="003859B6">
        <w:t xml:space="preserve">, almost twice as many people are found to be </w:t>
      </w:r>
      <w:r w:rsidR="00B02A67" w:rsidRPr="003859B6">
        <w:t xml:space="preserve">at risk of </w:t>
      </w:r>
      <w:r w:rsidR="00B02A67" w:rsidRPr="003859B6">
        <w:rPr>
          <w:i/>
        </w:rPr>
        <w:t>becoming</w:t>
      </w:r>
      <w:r w:rsidR="00B02A67" w:rsidRPr="003859B6">
        <w:t xml:space="preserve"> undernourished, as specified by the FAO indicator of food inadequacy.</w:t>
      </w:r>
      <w:r w:rsidR="00B02A67" w:rsidRPr="003859B6">
        <w:rPr>
          <w:vertAlign w:val="superscript"/>
        </w:rPr>
        <w:footnoteReference w:id="4"/>
      </w:r>
      <w:r w:rsidR="00B02A67" w:rsidRPr="003859B6">
        <w:t xml:space="preserve"> At the same time, the level of stunting (</w:t>
      </w:r>
      <w:r w:rsidR="00397D85" w:rsidRPr="003859B6">
        <w:t>when</w:t>
      </w:r>
      <w:r w:rsidR="00B02A67" w:rsidRPr="003859B6">
        <w:t xml:space="preserve"> children fail to reach their linear growth potential as a result of suboptimal health or nutritional conditions) </w:t>
      </w:r>
      <w:r w:rsidR="00BD714F" w:rsidRPr="003859B6">
        <w:t xml:space="preserve">is of serious concern, at over 36% among children under </w:t>
      </w:r>
      <w:r w:rsidR="00507CDA" w:rsidRPr="003859B6">
        <w:t xml:space="preserve">the age of five </w:t>
      </w:r>
      <w:r w:rsidR="002C7E76" w:rsidRPr="003859B6">
        <w:t>in 2014</w:t>
      </w:r>
      <w:r w:rsidR="00B3358C" w:rsidRPr="003859B6">
        <w:t xml:space="preserve"> (WHO, 2015</w:t>
      </w:r>
      <w:r w:rsidR="00BD714F" w:rsidRPr="003859B6">
        <w:t xml:space="preserve">). </w:t>
      </w:r>
      <w:r w:rsidR="00B02A67" w:rsidRPr="003859B6">
        <w:t>In addition, micronutrient deficiency</w:t>
      </w:r>
      <w:r w:rsidR="00507CDA" w:rsidRPr="003859B6">
        <w:t xml:space="preserve"> –</w:t>
      </w:r>
      <w:r w:rsidR="00B02A67" w:rsidRPr="003859B6">
        <w:t xml:space="preserve"> and in particular</w:t>
      </w:r>
      <w:r w:rsidR="00507CDA" w:rsidRPr="003859B6">
        <w:t>,</w:t>
      </w:r>
      <w:r w:rsidR="00B02A67" w:rsidRPr="003859B6">
        <w:t xml:space="preserve"> iodine and vitamin A</w:t>
      </w:r>
      <w:r w:rsidR="00507CDA" w:rsidRPr="003859B6">
        <w:t xml:space="preserve"> –</w:t>
      </w:r>
      <w:r w:rsidR="00B02A67" w:rsidRPr="003859B6">
        <w:t xml:space="preserve"> is still a moderate public health concern, bordering on severe (ASEAN</w:t>
      </w:r>
      <w:r w:rsidR="00874A49" w:rsidRPr="003859B6">
        <w:t>,</w:t>
      </w:r>
      <w:r w:rsidR="00B02A67" w:rsidRPr="003859B6">
        <w:t xml:space="preserve"> 2016). </w:t>
      </w:r>
      <w:r w:rsidR="00B64BE8" w:rsidRPr="003859B6">
        <w:t>This is believed to be due, in part, to inadequate diets, notably with insufficient intakes of protein and vitamins and excessive intakes of carbohydrates.</w:t>
      </w:r>
      <w:r w:rsidR="000E326E" w:rsidRPr="003859B6">
        <w:t xml:space="preserve"> </w:t>
      </w:r>
      <w:r w:rsidR="00B02A67" w:rsidRPr="003859B6">
        <w:t>Overall, about one</w:t>
      </w:r>
      <w:r w:rsidR="009D2B17" w:rsidRPr="003859B6">
        <w:t>-</w:t>
      </w:r>
      <w:r w:rsidR="00B02A67" w:rsidRPr="003859B6">
        <w:t xml:space="preserve">third of children below the age of </w:t>
      </w:r>
      <w:r w:rsidR="009D2B17" w:rsidRPr="003859B6">
        <w:t xml:space="preserve">two </w:t>
      </w:r>
      <w:r w:rsidR="00B02A67" w:rsidRPr="003859B6">
        <w:t>do not meet the minimum meal frequency; one</w:t>
      </w:r>
      <w:r w:rsidR="009D2B17" w:rsidRPr="003859B6">
        <w:t>-</w:t>
      </w:r>
      <w:r w:rsidR="00B02A67" w:rsidRPr="003859B6">
        <w:t>quarter do not achieve the minimum dietary diversity</w:t>
      </w:r>
      <w:r w:rsidR="009D2B17" w:rsidRPr="003859B6">
        <w:t>,</w:t>
      </w:r>
      <w:r w:rsidR="00B02A67" w:rsidRPr="003859B6">
        <w:t xml:space="preserve"> and nearly half do not meet the recommended quality of diet (ASEAN</w:t>
      </w:r>
      <w:r w:rsidR="00874A49" w:rsidRPr="003859B6">
        <w:t>,</w:t>
      </w:r>
      <w:r w:rsidR="00B02A67" w:rsidRPr="003859B6">
        <w:t xml:space="preserve"> 2016).</w:t>
      </w:r>
      <w:r w:rsidR="00B64BE8" w:rsidRPr="003859B6">
        <w:t xml:space="preserve"> On the other hand, </w:t>
      </w:r>
      <w:r w:rsidR="00DD6B03" w:rsidRPr="003859B6">
        <w:t>overweight</w:t>
      </w:r>
      <w:r w:rsidR="00C92C35" w:rsidRPr="003859B6">
        <w:t xml:space="preserve"> is already a concern for about a quarter of the population </w:t>
      </w:r>
      <w:r w:rsidR="00B64BE8" w:rsidRPr="003859B6">
        <w:t>and obesity</w:t>
      </w:r>
      <w:r w:rsidR="00DD6B03" w:rsidRPr="003859B6">
        <w:t xml:space="preserve"> is foreseen to become </w:t>
      </w:r>
      <w:r w:rsidR="002777BA" w:rsidRPr="003859B6">
        <w:t>one for</w:t>
      </w:r>
      <w:r w:rsidR="00DD6B03" w:rsidRPr="003859B6">
        <w:t xml:space="preserve"> one in ten people by 2025</w:t>
      </w:r>
      <w:r w:rsidR="00B64BE8" w:rsidRPr="003859B6">
        <w:t xml:space="preserve"> (Figure </w:t>
      </w:r>
      <w:r w:rsidR="00291FE8" w:rsidRPr="003859B6">
        <w:t>1</w:t>
      </w:r>
      <w:r w:rsidR="00B64BE8" w:rsidRPr="003859B6">
        <w:t xml:space="preserve">). </w:t>
      </w:r>
    </w:p>
    <w:p w:rsidR="00B02A67" w:rsidRPr="003859B6" w:rsidRDefault="009031C9" w:rsidP="00B02A67">
      <w:pPr>
        <w:pStyle w:val="Heading3"/>
      </w:pPr>
      <w:bookmarkStart w:id="18" w:name="_Toc472354575"/>
      <w:bookmarkStart w:id="19" w:name="_Toc472954970"/>
      <w:bookmarkStart w:id="20" w:name="_Toc474487626"/>
      <w:r w:rsidRPr="003859B6">
        <w:t>Fisheries and aquaculture s</w:t>
      </w:r>
      <w:r w:rsidR="000C5D65" w:rsidRPr="003859B6">
        <w:t xml:space="preserve">ector contribution to </w:t>
      </w:r>
      <w:bookmarkStart w:id="21" w:name="_Toc472936622"/>
      <w:bookmarkEnd w:id="18"/>
      <w:r w:rsidR="0025599A" w:rsidRPr="003859B6">
        <w:t xml:space="preserve">food security </w:t>
      </w:r>
      <w:r w:rsidR="00112192" w:rsidRPr="003859B6">
        <w:t xml:space="preserve">and </w:t>
      </w:r>
      <w:bookmarkEnd w:id="21"/>
      <w:r w:rsidR="000C5D65" w:rsidRPr="003859B6">
        <w:t>incomes</w:t>
      </w:r>
      <w:bookmarkEnd w:id="19"/>
      <w:bookmarkEnd w:id="20"/>
    </w:p>
    <w:p w:rsidR="00B02A67" w:rsidRPr="003859B6" w:rsidRDefault="00B02A67" w:rsidP="00B02A67">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8</w:instrText>
      </w:r>
      <w:r w:rsidRPr="003859B6">
        <w:fldChar w:fldCharType="end"/>
      </w:r>
      <w:r w:rsidRPr="003859B6">
        <w:instrText>.</w:instrText>
      </w:r>
      <w:r w:rsidRPr="003859B6">
        <w:tab/>
      </w:r>
      <w:r w:rsidRPr="003859B6">
        <w:fldChar w:fldCharType="end"/>
      </w:r>
      <w:r w:rsidRPr="003859B6">
        <w:t>Seafood consumption in Indonesia has grown significantly since the early 1990s</w:t>
      </w:r>
      <w:r w:rsidR="00291FE8" w:rsidRPr="003859B6">
        <w:t>.</w:t>
      </w:r>
      <w:r w:rsidRPr="003859B6">
        <w:t xml:space="preserve"> </w:t>
      </w:r>
      <w:r w:rsidR="00291FE8" w:rsidRPr="003859B6">
        <w:t>According to the results of the Indonesian national socio-economic survey (MMAF</w:t>
      </w:r>
      <w:r w:rsidR="009031C9" w:rsidRPr="003859B6">
        <w:t>, 2016</w:t>
      </w:r>
      <w:r w:rsidR="00291FE8" w:rsidRPr="003859B6">
        <w:t>)</w:t>
      </w:r>
      <w:proofErr w:type="gramStart"/>
      <w:r w:rsidR="00291FE8" w:rsidRPr="003859B6">
        <w:t>,</w:t>
      </w:r>
      <w:proofErr w:type="gramEnd"/>
      <w:r w:rsidR="00291FE8" w:rsidRPr="003859B6">
        <w:t xml:space="preserve"> </w:t>
      </w:r>
      <w:r w:rsidR="006D5445" w:rsidRPr="003859B6">
        <w:t>seafood consumption</w:t>
      </w:r>
      <w:r w:rsidR="00291FE8" w:rsidRPr="003859B6">
        <w:t xml:space="preserve"> </w:t>
      </w:r>
      <w:r w:rsidRPr="003859B6">
        <w:t xml:space="preserve">reached more than </w:t>
      </w:r>
      <w:r w:rsidR="001F74D2" w:rsidRPr="003859B6">
        <w:t xml:space="preserve">41 </w:t>
      </w:r>
      <w:r w:rsidRPr="003859B6">
        <w:t xml:space="preserve">kg per capita per annum in 2015, one of the world’s highest rates. </w:t>
      </w:r>
      <w:r w:rsidR="00490502" w:rsidRPr="003859B6">
        <w:t>Its c</w:t>
      </w:r>
      <w:r w:rsidRPr="003859B6">
        <w:t xml:space="preserve">ontribution to protein intake increased to over half of </w:t>
      </w:r>
      <w:r w:rsidR="00490502" w:rsidRPr="003859B6">
        <w:t xml:space="preserve">the </w:t>
      </w:r>
      <w:r w:rsidRPr="003859B6">
        <w:t>animal protein supply and 15% of</w:t>
      </w:r>
      <w:r w:rsidR="00490502" w:rsidRPr="003859B6">
        <w:t xml:space="preserve"> the</w:t>
      </w:r>
      <w:r w:rsidRPr="003859B6">
        <w:t xml:space="preserve"> total protein supply in 201</w:t>
      </w:r>
      <w:r w:rsidR="00CD09BA" w:rsidRPr="003859B6">
        <w:t>3 (FAO</w:t>
      </w:r>
      <w:r w:rsidR="009031C9" w:rsidRPr="003859B6">
        <w:t>,</w:t>
      </w:r>
      <w:r w:rsidR="00CD09BA" w:rsidRPr="003859B6">
        <w:t xml:space="preserve"> 2015</w:t>
      </w:r>
      <w:r w:rsidRPr="003859B6">
        <w:t xml:space="preserve">). </w:t>
      </w:r>
    </w:p>
    <w:p w:rsidR="00B02A67" w:rsidRPr="003859B6" w:rsidRDefault="00B02A67" w:rsidP="00B02A67">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9</w:instrText>
      </w:r>
      <w:r w:rsidRPr="003859B6">
        <w:fldChar w:fldCharType="end"/>
      </w:r>
      <w:r w:rsidRPr="003859B6">
        <w:instrText>.</w:instrText>
      </w:r>
      <w:r w:rsidRPr="003859B6">
        <w:tab/>
      </w:r>
      <w:r w:rsidRPr="003859B6">
        <w:fldChar w:fldCharType="end"/>
      </w:r>
      <w:r w:rsidRPr="003859B6">
        <w:t>The role of fisheries and aquaculture products in nutrition is particularly important for the poorest populations for whom fish is often the cheapest and most easily accessible source of protein, available year-round, including when other sources of protein are at a seasonal low</w:t>
      </w:r>
      <w:r w:rsidR="004B51BE" w:rsidRPr="003859B6">
        <w:t xml:space="preserve"> (HLPE, 2014).</w:t>
      </w:r>
      <w:r w:rsidR="004B51BE" w:rsidRPr="003859B6" w:rsidDel="004B51BE">
        <w:t xml:space="preserve"> </w:t>
      </w:r>
      <w:r w:rsidRPr="003859B6">
        <w:t xml:space="preserve"> </w:t>
      </w:r>
      <w:r w:rsidR="006D5445" w:rsidRPr="003859B6">
        <w:t>F</w:t>
      </w:r>
      <w:r w:rsidRPr="003859B6">
        <w:t>ish, especially when eaten whole, is an important source of essential fatty acids and micronutrients, which are critical complements to the predominantly carbohydrate-based diets of many poor people. These micronutrients include vitamins A, B and D as well as iodine, iron, zinc and calcium (</w:t>
      </w:r>
      <w:r w:rsidR="00E165A9" w:rsidRPr="003859B6">
        <w:t>IFPRI, 2014</w:t>
      </w:r>
      <w:r w:rsidRPr="003859B6">
        <w:t xml:space="preserve">). </w:t>
      </w:r>
    </w:p>
    <w:p w:rsidR="00B02A67" w:rsidRPr="003859B6" w:rsidRDefault="00B02A67" w:rsidP="009C68B9">
      <w:pPr>
        <w:pStyle w:val="Heading5"/>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10</w:instrText>
      </w:r>
      <w:r w:rsidRPr="003859B6">
        <w:fldChar w:fldCharType="end"/>
      </w:r>
      <w:r w:rsidRPr="003859B6">
        <w:instrText>.</w:instrText>
      </w:r>
      <w:r w:rsidRPr="003859B6">
        <w:tab/>
      </w:r>
      <w:r w:rsidRPr="003859B6">
        <w:fldChar w:fldCharType="end"/>
      </w:r>
      <w:r w:rsidRPr="003859B6">
        <w:t xml:space="preserve">At the same time, the fisheries and aquaculture sector contributes significantly to </w:t>
      </w:r>
      <w:r w:rsidR="00216BD0" w:rsidRPr="003859B6">
        <w:t>the Indonesian economy. It generated</w:t>
      </w:r>
      <w:r w:rsidR="006D5445" w:rsidRPr="003859B6">
        <w:t xml:space="preserve"> </w:t>
      </w:r>
      <w:r w:rsidR="00D4587E" w:rsidRPr="003859B6">
        <w:t>almost 4</w:t>
      </w:r>
      <w:r w:rsidR="006D5445" w:rsidRPr="003859B6">
        <w:t xml:space="preserve">% of total GDP </w:t>
      </w:r>
      <w:r w:rsidR="00216BD0" w:rsidRPr="003859B6">
        <w:t>and earned USD 4</w:t>
      </w:r>
      <w:r w:rsidR="00D4587E" w:rsidRPr="003859B6">
        <w:t>.6</w:t>
      </w:r>
      <w:r w:rsidR="00216BD0" w:rsidRPr="003859B6">
        <w:t xml:space="preserve"> billion from seafood product exports in 2012 (</w:t>
      </w:r>
      <w:r w:rsidR="00D4587E" w:rsidRPr="003859B6">
        <w:t>MMAF, 2015</w:t>
      </w:r>
      <w:r w:rsidR="00216BD0" w:rsidRPr="003859B6">
        <w:t xml:space="preserve">). </w:t>
      </w:r>
      <w:r w:rsidRPr="003859B6">
        <w:t xml:space="preserve"> </w:t>
      </w:r>
      <w:r w:rsidR="00216BD0" w:rsidRPr="003859B6">
        <w:t xml:space="preserve">Most importantly, as 95% of fishing boats are small-scale artisanal vessels and aquaculture production is mainly artisanal (see Box 1), the sector is an important source of income </w:t>
      </w:r>
      <w:r w:rsidRPr="003859B6">
        <w:t>generation.</w:t>
      </w:r>
      <w:r w:rsidR="00216BD0" w:rsidRPr="003859B6">
        <w:t xml:space="preserve"> It </w:t>
      </w:r>
      <w:r w:rsidR="002777BA" w:rsidRPr="003859B6">
        <w:t xml:space="preserve">accounted for </w:t>
      </w:r>
      <w:r w:rsidR="00D4587E" w:rsidRPr="003859B6">
        <w:t>an estimated 6.4</w:t>
      </w:r>
      <w:r w:rsidRPr="003859B6">
        <w:t xml:space="preserve"> million direct jobs for Indonesians</w:t>
      </w:r>
      <w:r w:rsidR="00BC03BB" w:rsidRPr="003859B6">
        <w:t xml:space="preserve"> in 2014</w:t>
      </w:r>
      <w:r w:rsidRPr="003859B6">
        <w:t xml:space="preserve"> (</w:t>
      </w:r>
      <w:r w:rsidR="00772EDE" w:rsidRPr="003859B6">
        <w:t>MMAF</w:t>
      </w:r>
      <w:r w:rsidR="00ED129E" w:rsidRPr="003859B6">
        <w:t>, 2016</w:t>
      </w:r>
      <w:r w:rsidRPr="003859B6">
        <w:t>)</w:t>
      </w:r>
      <w:r w:rsidR="009031C9" w:rsidRPr="003859B6">
        <w:t>,</w:t>
      </w:r>
      <w:r w:rsidR="00D4587E" w:rsidRPr="003859B6">
        <w:t xml:space="preserve"> of which</w:t>
      </w:r>
      <w:r w:rsidR="001F74D2" w:rsidRPr="003859B6">
        <w:t xml:space="preserve"> 3.7 million on-farm jobs (MMAF</w:t>
      </w:r>
      <w:r w:rsidR="009031C9" w:rsidRPr="003859B6">
        <w:t>, 2016</w:t>
      </w:r>
      <w:r w:rsidR="00D4587E" w:rsidRPr="003859B6">
        <w:t>) and</w:t>
      </w:r>
      <w:r w:rsidR="002A58D7" w:rsidRPr="003859B6">
        <w:t xml:space="preserve"> 2.7 million fishers in 2014 (</w:t>
      </w:r>
      <w:r w:rsidR="004C6D31" w:rsidRPr="003859B6">
        <w:rPr>
          <w:lang w:eastAsia="en-US"/>
        </w:rPr>
        <w:t xml:space="preserve">MMAF, </w:t>
      </w:r>
      <w:r w:rsidR="002A58D7" w:rsidRPr="003859B6">
        <w:rPr>
          <w:lang w:eastAsia="en-US"/>
        </w:rPr>
        <w:t xml:space="preserve">2015). </w:t>
      </w:r>
      <w:r w:rsidRPr="003859B6">
        <w:t>I</w:t>
      </w:r>
      <w:r w:rsidR="001F74D2" w:rsidRPr="003859B6">
        <w:t>n addition, i</w:t>
      </w:r>
      <w:r w:rsidRPr="003859B6">
        <w:t xml:space="preserve">t is estimated that as many people are indirectly employed in associated services and industries </w:t>
      </w:r>
      <w:r w:rsidR="00D4587E" w:rsidRPr="003859B6">
        <w:t xml:space="preserve">such that about 20 million Indonesians are believed to rely on fishing for their basic livelihoods </w:t>
      </w:r>
      <w:r w:rsidRPr="003859B6">
        <w:t>(</w:t>
      </w:r>
      <w:proofErr w:type="spellStart"/>
      <w:r w:rsidRPr="003859B6">
        <w:t>Koeshendrajana</w:t>
      </w:r>
      <w:proofErr w:type="spellEnd"/>
      <w:r w:rsidR="00D4587E" w:rsidRPr="003859B6">
        <w:t>,</w:t>
      </w:r>
      <w:r w:rsidR="004F6418" w:rsidRPr="003859B6">
        <w:t xml:space="preserve"> 2016</w:t>
      </w:r>
      <w:r w:rsidRPr="003859B6">
        <w:t xml:space="preserve">). </w:t>
      </w:r>
    </w:p>
    <w:p w:rsidR="00B02A67" w:rsidRPr="003859B6" w:rsidRDefault="00B02A67" w:rsidP="00B02A67">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11</w:instrText>
      </w:r>
      <w:r w:rsidRPr="003859B6">
        <w:fldChar w:fldCharType="end"/>
      </w:r>
      <w:r w:rsidRPr="003859B6">
        <w:instrText>.</w:instrText>
      </w:r>
      <w:r w:rsidRPr="003859B6">
        <w:tab/>
      </w:r>
      <w:r w:rsidRPr="003859B6">
        <w:fldChar w:fldCharType="end"/>
      </w:r>
      <w:r w:rsidRPr="003859B6">
        <w:t>The potential of the sector to contribute to improved food security and nutrition is all the more important as many of the jobs provided are located in poor and remote areas of the country. Across low and lower-middle income countries, food insecurity is predominantly rural</w:t>
      </w:r>
      <w:r w:rsidR="00ED5C61" w:rsidRPr="003859B6">
        <w:t>,</w:t>
      </w:r>
      <w:r w:rsidRPr="003859B6">
        <w:t xml:space="preserve"> and smallholder farmers are particularly afflicted (OECD</w:t>
      </w:r>
      <w:r w:rsidR="00727D42" w:rsidRPr="003859B6">
        <w:t>,</w:t>
      </w:r>
      <w:r w:rsidRPr="003859B6">
        <w:t xml:space="preserve"> 2013). This pattern is repeated in Indonesia: about two</w:t>
      </w:r>
      <w:r w:rsidR="006E4FF9" w:rsidRPr="003859B6">
        <w:t>-</w:t>
      </w:r>
      <w:r w:rsidRPr="003859B6">
        <w:t xml:space="preserve">thirds of Indonesia’s poor live in coastal communities (BPS-Indonesia </w:t>
      </w:r>
      <w:proofErr w:type="spellStart"/>
      <w:r w:rsidR="0014175F" w:rsidRPr="003859B6">
        <w:t>Statistik</w:t>
      </w:r>
      <w:proofErr w:type="spellEnd"/>
      <w:r w:rsidRPr="003859B6">
        <w:t>, 2008). A number of these communities are highly dependent on the sector. Fisheries also provide part-time and seasonal jobs that complement other activities. The number</w:t>
      </w:r>
      <w:r w:rsidR="006E4FF9" w:rsidRPr="003859B6">
        <w:t xml:space="preserve"> of fisherie</w:t>
      </w:r>
      <w:r w:rsidRPr="003859B6">
        <w:t>s</w:t>
      </w:r>
      <w:r w:rsidR="006E4FF9" w:rsidRPr="003859B6">
        <w:t xml:space="preserve"> jobs</w:t>
      </w:r>
      <w:r w:rsidRPr="003859B6">
        <w:t xml:space="preserve"> </w:t>
      </w:r>
      <w:r w:rsidR="006E4FF9" w:rsidRPr="003859B6">
        <w:t>is</w:t>
      </w:r>
      <w:r w:rsidRPr="003859B6">
        <w:t xml:space="preserve"> likely to grow in the future. The number of people employed in capture fisheries increased by 84% between 2000 and 2010</w:t>
      </w:r>
      <w:r w:rsidR="00ED5C61" w:rsidRPr="003859B6">
        <w:t>,</w:t>
      </w:r>
      <w:r w:rsidRPr="003859B6">
        <w:t xml:space="preserve"> while employment in fish farming increased by 156 % (</w:t>
      </w:r>
      <w:r w:rsidR="004B6757" w:rsidRPr="003859B6">
        <w:t>FAO, 2012</w:t>
      </w:r>
      <w:r w:rsidRPr="003859B6">
        <w:t>). By 2030</w:t>
      </w:r>
      <w:r w:rsidR="00ED5C61" w:rsidRPr="003859B6">
        <w:t>,</w:t>
      </w:r>
      <w:r w:rsidRPr="003859B6">
        <w:t xml:space="preserve"> it is estimated that almost 9 million people will be directly employed in aquaculture, with another 6 million people indirectly dependent on the </w:t>
      </w:r>
      <w:r w:rsidR="00B57222" w:rsidRPr="003859B6">
        <w:t>sub-</w:t>
      </w:r>
      <w:r w:rsidRPr="003859B6">
        <w:t>sector (</w:t>
      </w:r>
      <w:r w:rsidR="00F67B99" w:rsidRPr="003859B6">
        <w:t>Phillips et al., 2015</w:t>
      </w:r>
      <w:r w:rsidRPr="003859B6">
        <w:t xml:space="preserve">). </w:t>
      </w:r>
    </w:p>
    <w:p w:rsidR="000623DD" w:rsidRPr="003859B6" w:rsidRDefault="000623DD" w:rsidP="000623DD">
      <w:pPr>
        <w:rPr>
          <w:b/>
          <w:bCs/>
        </w:rPr>
      </w:pPr>
    </w:p>
    <w:p w:rsidR="000623DD" w:rsidRPr="003859B6" w:rsidRDefault="000623DD"/>
    <w:p w:rsidR="000623DD" w:rsidRPr="003859B6" w:rsidRDefault="000623DD">
      <w:r w:rsidRPr="003859B6">
        <w:rPr>
          <w:b/>
          <w:bCs/>
        </w:rPr>
        <w:br w:type="page"/>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684"/>
      </w:tblGrid>
      <w:tr w:rsidR="00C22482" w:rsidRPr="003859B6" w:rsidTr="00F42F6F">
        <w:tc>
          <w:tcPr>
            <w:tcW w:w="9684" w:type="dxa"/>
            <w:shd w:val="clear" w:color="auto" w:fill="auto"/>
          </w:tcPr>
          <w:p w:rsidR="00C22482" w:rsidRPr="003859B6" w:rsidRDefault="00E37247" w:rsidP="00C22482">
            <w:pPr>
              <w:pStyle w:val="BoxHeading"/>
            </w:pPr>
            <w:bookmarkStart w:id="22" w:name="_Toc473275097"/>
            <w:r w:rsidRPr="003859B6">
              <w:t xml:space="preserve">Box 1 </w:t>
            </w:r>
            <w:r w:rsidR="00C22482" w:rsidRPr="003859B6">
              <w:t>Marine fisheries and aquaculture production in Indonesia</w:t>
            </w:r>
            <w:bookmarkEnd w:id="22"/>
          </w:p>
          <w:p w:rsidR="00216BD0" w:rsidRPr="003859B6" w:rsidRDefault="00216BD0" w:rsidP="000623DD">
            <w:pPr>
              <w:pStyle w:val="BoxBodyText"/>
            </w:pPr>
            <w:r w:rsidRPr="003859B6">
              <w:t>Indonesia has become the second</w:t>
            </w:r>
            <w:r w:rsidR="00ED5C61" w:rsidRPr="003859B6">
              <w:t>-</w:t>
            </w:r>
            <w:r w:rsidRPr="003859B6">
              <w:t>largest producer of fish, crustaceans and aquatic plants in the world by volume</w:t>
            </w:r>
            <w:r w:rsidR="00ED5C61" w:rsidRPr="003859B6">
              <w:t>,</w:t>
            </w:r>
            <w:r w:rsidRPr="003859B6">
              <w:t xml:space="preserve"> after China</w:t>
            </w:r>
            <w:r w:rsidR="00ED5C61" w:rsidRPr="003859B6">
              <w:t>,</w:t>
            </w:r>
            <w:r w:rsidRPr="003859B6">
              <w:t xml:space="preserve"> mainly thanks to a boom in aquaculture production: capture fisheries production reached 6</w:t>
            </w:r>
            <w:r w:rsidR="00EB646F" w:rsidRPr="003859B6">
              <w:t>.2</w:t>
            </w:r>
            <w:r w:rsidRPr="003859B6">
              <w:t xml:space="preserve"> mil</w:t>
            </w:r>
            <w:r w:rsidR="00EB646F" w:rsidRPr="003859B6">
              <w:t xml:space="preserve">lion </w:t>
            </w:r>
            <w:proofErr w:type="spellStart"/>
            <w:r w:rsidR="00EB646F" w:rsidRPr="003859B6">
              <w:t>tonnes</w:t>
            </w:r>
            <w:proofErr w:type="spellEnd"/>
            <w:r w:rsidR="00EB646F" w:rsidRPr="003859B6">
              <w:t xml:space="preserve"> and aquaculture 15.6</w:t>
            </w:r>
            <w:r w:rsidRPr="003859B6">
              <w:t xml:space="preserve"> million </w:t>
            </w:r>
            <w:proofErr w:type="spellStart"/>
            <w:r w:rsidRPr="003859B6">
              <w:t>tonnes</w:t>
            </w:r>
            <w:proofErr w:type="spellEnd"/>
            <w:r w:rsidRPr="003859B6">
              <w:t xml:space="preserve"> in </w:t>
            </w:r>
            <w:r w:rsidR="00EB646F" w:rsidRPr="003859B6">
              <w:t>2015</w:t>
            </w:r>
            <w:r w:rsidRPr="003859B6">
              <w:t>.</w:t>
            </w:r>
          </w:p>
          <w:p w:rsidR="00216BD0" w:rsidRPr="003859B6" w:rsidRDefault="00216BD0" w:rsidP="00216BD0">
            <w:pPr>
              <w:pStyle w:val="FigureTitle"/>
            </w:pPr>
            <w:r w:rsidRPr="003859B6">
              <w:fldChar w:fldCharType="begin"/>
            </w:r>
            <w:r w:rsidRPr="003859B6">
              <w:instrText xml:space="preserve"> MACROBUTTON NUMBERING Figure </w:instrText>
            </w:r>
            <w:r w:rsidRPr="003859B6">
              <w:fldChar w:fldCharType="begin"/>
            </w:r>
            <w:r w:rsidRPr="003859B6">
              <w:instrText xml:space="preserve"> SEQ  figure</w:instrText>
            </w:r>
            <w:r w:rsidRPr="003859B6">
              <w:fldChar w:fldCharType="separate"/>
            </w:r>
            <w:r w:rsidR="003859B6">
              <w:rPr>
                <w:noProof/>
              </w:rPr>
              <w:instrText>2</w:instrText>
            </w:r>
            <w:r w:rsidRPr="003859B6">
              <w:fldChar w:fldCharType="end"/>
            </w:r>
            <w:r w:rsidRPr="003859B6">
              <w:instrText>.</w:instrText>
            </w:r>
            <w:r w:rsidRPr="003859B6">
              <w:tab/>
            </w:r>
            <w:r w:rsidRPr="003859B6">
              <w:fldChar w:fldCharType="end"/>
            </w:r>
            <w:r w:rsidRPr="003859B6">
              <w:t>Fisheries and Aquaculture production, 1950-2014</w:t>
            </w:r>
            <w:r w:rsidRPr="003859B6">
              <w:fldChar w:fldCharType="begin"/>
            </w:r>
            <w:r w:rsidRPr="003859B6">
              <w:instrText xml:space="preserve"> TC \f f \l 2 "</w:instrText>
            </w:r>
            <w:bookmarkStart w:id="23" w:name="_Toc472354566"/>
            <w:bookmarkStart w:id="24" w:name="_Toc472936612"/>
            <w:bookmarkStart w:id="25" w:name="_Toc472951205"/>
            <w:bookmarkStart w:id="26" w:name="_Toc473280379"/>
            <w:r w:rsidRPr="003859B6">
              <w:instrText>Figure 3 Fisheries and Aquaculture production, 1950-2014</w:instrText>
            </w:r>
            <w:bookmarkEnd w:id="23"/>
            <w:bookmarkEnd w:id="24"/>
            <w:bookmarkEnd w:id="25"/>
            <w:bookmarkEnd w:id="26"/>
            <w:r w:rsidRPr="003859B6">
              <w:instrText xml:space="preserve">"  </w:instrText>
            </w:r>
            <w:r w:rsidRPr="003859B6">
              <w:fldChar w:fldCharType="end"/>
            </w:r>
          </w:p>
          <w:p w:rsidR="00A754AC" w:rsidRPr="003859B6" w:rsidRDefault="00F42F6F" w:rsidP="00216BD0">
            <w:pPr>
              <w:pStyle w:val="Graphic"/>
              <w:jc w:val="left"/>
            </w:pPr>
            <w:r w:rsidRPr="003859B6">
              <w:rPr>
                <w:noProof/>
                <w:lang w:eastAsia="en-GB"/>
              </w:rPr>
              <w:drawing>
                <wp:inline distT="0" distB="0" distL="0" distR="0" wp14:anchorId="63B873B3" wp14:editId="6CE5796F">
                  <wp:extent cx="5552138" cy="3477933"/>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6BD0" w:rsidRPr="003859B6" w:rsidRDefault="00216BD0" w:rsidP="00216BD0">
            <w:pPr>
              <w:pStyle w:val="Graphic"/>
              <w:jc w:val="left"/>
              <w:rPr>
                <w:sz w:val="20"/>
                <w:szCs w:val="20"/>
              </w:rPr>
            </w:pPr>
            <w:r w:rsidRPr="003859B6">
              <w:rPr>
                <w:rFonts w:ascii="Arial" w:hAnsi="Arial" w:cs="Arial"/>
                <w:sz w:val="16"/>
                <w:szCs w:val="18"/>
              </w:rPr>
              <w:t>Source: FAO (2016</w:t>
            </w:r>
            <w:r w:rsidR="00931DF6" w:rsidRPr="003859B6">
              <w:rPr>
                <w:rFonts w:ascii="Arial" w:hAnsi="Arial" w:cs="Arial"/>
                <w:sz w:val="16"/>
                <w:szCs w:val="18"/>
              </w:rPr>
              <w:t>a</w:t>
            </w:r>
            <w:r w:rsidRPr="003859B6">
              <w:rPr>
                <w:rFonts w:ascii="Arial" w:hAnsi="Arial" w:cs="Arial"/>
                <w:sz w:val="16"/>
                <w:szCs w:val="18"/>
              </w:rPr>
              <w:t>)</w:t>
            </w:r>
          </w:p>
          <w:p w:rsidR="00262B63" w:rsidRPr="003859B6" w:rsidRDefault="00216BD0" w:rsidP="001B4D4D">
            <w:pPr>
              <w:pStyle w:val="BoxBodyText"/>
              <w:pageBreakBefore/>
              <w:ind w:firstLine="0"/>
              <w:rPr>
                <w:lang w:val="en-GB"/>
              </w:rPr>
            </w:pPr>
            <w:r w:rsidRPr="003859B6">
              <w:rPr>
                <w:lang w:val="en-GB"/>
              </w:rPr>
              <w:t xml:space="preserve">Artisanal fishing boats </w:t>
            </w:r>
            <w:r w:rsidR="00ED5C61" w:rsidRPr="003859B6">
              <w:rPr>
                <w:lang w:val="en-GB"/>
              </w:rPr>
              <w:t>comprise</w:t>
            </w:r>
            <w:r w:rsidRPr="003859B6">
              <w:rPr>
                <w:lang w:val="en-GB"/>
              </w:rPr>
              <w:t xml:space="preserve"> the vast majority of the Indonesian marine fleet. They target mainly near-shore species such as reef fishes (grouper and snapper) and demersal fishes (</w:t>
            </w:r>
            <w:proofErr w:type="spellStart"/>
            <w:r w:rsidR="00750FB4" w:rsidRPr="003859B6">
              <w:rPr>
                <w:lang w:val="en-GB"/>
              </w:rPr>
              <w:t>scabbardfishes</w:t>
            </w:r>
            <w:proofErr w:type="spellEnd"/>
            <w:r w:rsidR="00750FB4" w:rsidRPr="003859B6">
              <w:rPr>
                <w:lang w:val="en-GB"/>
              </w:rPr>
              <w:t xml:space="preserve"> </w:t>
            </w:r>
            <w:r w:rsidR="009144B1" w:rsidRPr="003859B6">
              <w:rPr>
                <w:lang w:val="en-GB"/>
              </w:rPr>
              <w:t>and</w:t>
            </w:r>
            <w:r w:rsidR="00750FB4" w:rsidRPr="003859B6">
              <w:rPr>
                <w:lang w:val="en-GB"/>
              </w:rPr>
              <w:t xml:space="preserve"> </w:t>
            </w:r>
            <w:proofErr w:type="spellStart"/>
            <w:r w:rsidR="00750FB4" w:rsidRPr="003859B6">
              <w:rPr>
                <w:lang w:val="en-GB"/>
              </w:rPr>
              <w:t>hairtails</w:t>
            </w:r>
            <w:proofErr w:type="spellEnd"/>
            <w:r w:rsidRPr="003859B6">
              <w:rPr>
                <w:lang w:val="en-GB"/>
              </w:rPr>
              <w:t>), as well as small pelagic fishes (</w:t>
            </w:r>
            <w:r w:rsidR="00750FB4" w:rsidRPr="003859B6">
              <w:rPr>
                <w:lang w:val="en-GB"/>
              </w:rPr>
              <w:t>scads, jacks</w:t>
            </w:r>
            <w:r w:rsidR="009144B1" w:rsidRPr="003859B6">
              <w:rPr>
                <w:lang w:val="en-GB"/>
              </w:rPr>
              <w:t xml:space="preserve"> and</w:t>
            </w:r>
            <w:r w:rsidR="00A70FC3" w:rsidRPr="003859B6">
              <w:rPr>
                <w:lang w:val="en-GB"/>
              </w:rPr>
              <w:t xml:space="preserve"> mackerel</w:t>
            </w:r>
            <w:r w:rsidRPr="003859B6">
              <w:rPr>
                <w:lang w:val="en-GB"/>
              </w:rPr>
              <w:t>). The</w:t>
            </w:r>
            <w:r w:rsidR="00A754AC" w:rsidRPr="003859B6">
              <w:rPr>
                <w:lang w:val="en-GB"/>
              </w:rPr>
              <w:t xml:space="preserve"> </w:t>
            </w:r>
            <w:r w:rsidRPr="003859B6">
              <w:rPr>
                <w:lang w:val="en-GB"/>
              </w:rPr>
              <w:t>artisanal fleet accounts for somewhere between a quarter and</w:t>
            </w:r>
            <w:r w:rsidR="00CF2CAD" w:rsidRPr="003859B6">
              <w:rPr>
                <w:lang w:val="en-GB"/>
              </w:rPr>
              <w:t xml:space="preserve"> a</w:t>
            </w:r>
            <w:r w:rsidRPr="003859B6">
              <w:rPr>
                <w:lang w:val="en-GB"/>
              </w:rPr>
              <w:t xml:space="preserve"> third of the total catch, depending on data sources. Larger industrial vessels</w:t>
            </w:r>
            <w:r w:rsidRPr="003859B6" w:rsidDel="00397E8E">
              <w:rPr>
                <w:lang w:val="en-GB"/>
              </w:rPr>
              <w:t xml:space="preserve"> </w:t>
            </w:r>
            <w:r w:rsidRPr="003859B6">
              <w:rPr>
                <w:lang w:val="en-GB"/>
              </w:rPr>
              <w:t xml:space="preserve">mainly </w:t>
            </w:r>
            <w:r w:rsidR="00397E8E" w:rsidRPr="003859B6">
              <w:rPr>
                <w:lang w:val="en-GB"/>
              </w:rPr>
              <w:t xml:space="preserve">target </w:t>
            </w:r>
            <w:r w:rsidRPr="003859B6">
              <w:rPr>
                <w:lang w:val="en-GB"/>
              </w:rPr>
              <w:t>tuna and shrimp</w:t>
            </w:r>
            <w:r w:rsidR="00397E8E" w:rsidRPr="003859B6">
              <w:rPr>
                <w:lang w:val="en-GB"/>
              </w:rPr>
              <w:t>,</w:t>
            </w:r>
            <w:r w:rsidRPr="003859B6">
              <w:rPr>
                <w:lang w:val="en-GB"/>
              </w:rPr>
              <w:t xml:space="preserve"> as well as demersal fish and reef fish to a lesser extent. While they </w:t>
            </w:r>
            <w:r w:rsidR="00397E8E" w:rsidRPr="003859B6">
              <w:rPr>
                <w:lang w:val="en-GB"/>
              </w:rPr>
              <w:t>comprise</w:t>
            </w:r>
            <w:r w:rsidRPr="003859B6">
              <w:rPr>
                <w:lang w:val="en-GB"/>
              </w:rPr>
              <w:t xml:space="preserve"> only about 5% of the fleet, they account for the remaining vast majority of the total catch (see Figures </w:t>
            </w:r>
            <w:r w:rsidR="00772EDE" w:rsidRPr="003859B6">
              <w:rPr>
                <w:lang w:val="en-GB"/>
              </w:rPr>
              <w:t>4</w:t>
            </w:r>
            <w:r w:rsidRPr="003859B6">
              <w:rPr>
                <w:lang w:val="en-GB"/>
              </w:rPr>
              <w:t xml:space="preserve"> and </w:t>
            </w:r>
            <w:r w:rsidR="00772EDE" w:rsidRPr="003859B6">
              <w:rPr>
                <w:lang w:val="en-GB"/>
              </w:rPr>
              <w:t>5</w:t>
            </w:r>
            <w:r w:rsidRPr="003859B6">
              <w:rPr>
                <w:lang w:val="en-GB"/>
              </w:rPr>
              <w:t>).</w:t>
            </w:r>
          </w:p>
          <w:p w:rsidR="001B4D4D" w:rsidRPr="003859B6" w:rsidRDefault="001B4D4D" w:rsidP="001B4D4D">
            <w:pPr>
              <w:pStyle w:val="BoxBodyText"/>
              <w:pageBreakBefore/>
              <w:ind w:firstLine="0"/>
              <w:rPr>
                <w:lang w:val="en-GB"/>
              </w:rPr>
            </w:pPr>
          </w:p>
          <w:p w:rsidR="001B4D4D" w:rsidRPr="003859B6" w:rsidRDefault="001B4D4D" w:rsidP="001B4D4D">
            <w:pPr>
              <w:pStyle w:val="BoxBodyText"/>
              <w:pageBreakBefore/>
              <w:ind w:firstLine="0"/>
              <w:rPr>
                <w:lang w:val="en-GB"/>
              </w:rPr>
            </w:pPr>
          </w:p>
          <w:p w:rsidR="001B4D4D" w:rsidRPr="003859B6" w:rsidRDefault="001B4D4D" w:rsidP="001B4D4D">
            <w:pPr>
              <w:pStyle w:val="BoxBodyText"/>
              <w:pageBreakBefore/>
              <w:ind w:firstLine="0"/>
              <w:rPr>
                <w:lang w:val="en-GB"/>
              </w:rPr>
            </w:pPr>
          </w:p>
          <w:p w:rsidR="001B4D4D" w:rsidRPr="003859B6" w:rsidRDefault="001B4D4D" w:rsidP="001B4D4D">
            <w:pPr>
              <w:pStyle w:val="BoxBodyText"/>
              <w:pageBreakBefore/>
              <w:ind w:firstLine="0"/>
              <w:rPr>
                <w:lang w:val="en-GB"/>
              </w:rPr>
            </w:pPr>
          </w:p>
          <w:p w:rsidR="001B4D4D" w:rsidRPr="003859B6" w:rsidRDefault="001B4D4D" w:rsidP="001B4D4D">
            <w:pPr>
              <w:pStyle w:val="BoxBodyText"/>
              <w:pageBreakBefore/>
              <w:ind w:firstLine="0"/>
              <w:rPr>
                <w:lang w:val="en-GB"/>
              </w:rPr>
            </w:pPr>
          </w:p>
          <w:p w:rsidR="00E46C4C" w:rsidRPr="003859B6" w:rsidRDefault="00E46C4C" w:rsidP="001B4D4D">
            <w:pPr>
              <w:pStyle w:val="BoxBodyText"/>
              <w:pageBreakBefore/>
              <w:ind w:firstLine="0"/>
              <w:rPr>
                <w:lang w:val="en-GB"/>
              </w:rPr>
            </w:pPr>
          </w:p>
          <w:p w:rsidR="001B4D4D" w:rsidRPr="003859B6" w:rsidRDefault="001B4D4D" w:rsidP="001B4D4D">
            <w:pPr>
              <w:pStyle w:val="BoxBodyText"/>
              <w:pageBreakBefore/>
              <w:ind w:firstLine="0"/>
              <w:rPr>
                <w:lang w:val="en-GB"/>
              </w:rPr>
            </w:pPr>
          </w:p>
          <w:p w:rsidR="001B4D4D" w:rsidRPr="003859B6" w:rsidRDefault="001B4D4D" w:rsidP="001B4D4D">
            <w:pPr>
              <w:pStyle w:val="BoxBodyText"/>
              <w:pageBreakBefore/>
              <w:ind w:firstLine="0"/>
              <w:rPr>
                <w:lang w:val="en-GB"/>
              </w:rPr>
            </w:pPr>
          </w:p>
          <w:p w:rsidR="00251ED3" w:rsidRPr="003859B6" w:rsidRDefault="000623DD" w:rsidP="00262B63">
            <w:pPr>
              <w:pStyle w:val="FigureTitle"/>
              <w:pageBreakBefore/>
            </w:pPr>
            <w:r w:rsidRPr="003859B6">
              <w:fldChar w:fldCharType="begin"/>
            </w:r>
            <w:r w:rsidRPr="003859B6">
              <w:instrText xml:space="preserve"> MACROBUTTON NUMBERING Figure </w:instrText>
            </w:r>
            <w:r w:rsidRPr="003859B6">
              <w:fldChar w:fldCharType="begin"/>
            </w:r>
            <w:r w:rsidRPr="003859B6">
              <w:instrText xml:space="preserve"> SEQ  figure</w:instrText>
            </w:r>
            <w:r w:rsidRPr="003859B6">
              <w:fldChar w:fldCharType="separate"/>
            </w:r>
            <w:r w:rsidR="003859B6">
              <w:rPr>
                <w:noProof/>
              </w:rPr>
              <w:instrText>3</w:instrText>
            </w:r>
            <w:r w:rsidRPr="003859B6">
              <w:fldChar w:fldCharType="end"/>
            </w:r>
            <w:r w:rsidRPr="003859B6">
              <w:instrText>.</w:instrText>
            </w:r>
            <w:r w:rsidRPr="003859B6">
              <w:tab/>
            </w:r>
            <w:r w:rsidRPr="003859B6">
              <w:fldChar w:fldCharType="end"/>
            </w:r>
            <w:r w:rsidR="00251ED3" w:rsidRPr="003859B6">
              <w:t xml:space="preserve">Composition of capture fisheries </w:t>
            </w:r>
            <w:r w:rsidR="00C55F20" w:rsidRPr="003859B6">
              <w:t xml:space="preserve">(marine and inland) </w:t>
            </w:r>
            <w:r w:rsidR="00251ED3" w:rsidRPr="003859B6">
              <w:t>by main species (2014)</w:t>
            </w:r>
            <w:r w:rsidR="00A82EC7" w:rsidRPr="003859B6">
              <w:t xml:space="preserve"> </w:t>
            </w:r>
            <w:r w:rsidR="00A82EC7" w:rsidRPr="003859B6">
              <w:fldChar w:fldCharType="begin"/>
            </w:r>
            <w:r w:rsidR="00A82EC7" w:rsidRPr="003859B6">
              <w:instrText xml:space="preserve"> TC \f f \l 2 "</w:instrText>
            </w:r>
            <w:bookmarkStart w:id="27" w:name="_Toc472354567"/>
            <w:bookmarkStart w:id="28" w:name="_Toc472936613"/>
            <w:bookmarkStart w:id="29" w:name="_Toc472951206"/>
            <w:bookmarkStart w:id="30" w:name="_Toc473280380"/>
            <w:r w:rsidR="00D30A1C" w:rsidRPr="003859B6">
              <w:instrText xml:space="preserve">Figure </w:instrText>
            </w:r>
            <w:r w:rsidR="007A4B66" w:rsidRPr="003859B6">
              <w:instrText>3</w:instrText>
            </w:r>
            <w:r w:rsidR="00D30A1C" w:rsidRPr="003859B6">
              <w:instrText xml:space="preserve"> </w:instrText>
            </w:r>
            <w:r w:rsidR="00A82EC7" w:rsidRPr="003859B6">
              <w:instrText>Composition of capture fisheries by main species (2014)</w:instrText>
            </w:r>
            <w:bookmarkEnd w:id="27"/>
            <w:bookmarkEnd w:id="28"/>
            <w:bookmarkEnd w:id="29"/>
            <w:bookmarkEnd w:id="30"/>
            <w:r w:rsidR="00A82EC7" w:rsidRPr="003859B6">
              <w:instrText xml:space="preserve">"  </w:instrText>
            </w:r>
            <w:r w:rsidR="00A82EC7" w:rsidRPr="003859B6">
              <w:fldChar w:fldCharType="end"/>
            </w:r>
          </w:p>
          <w:p w:rsidR="00F42F6F" w:rsidRPr="003859B6" w:rsidRDefault="00F42F6F" w:rsidP="00251ED3">
            <w:pPr>
              <w:pStyle w:val="FigureSub-title"/>
              <w:jc w:val="left"/>
            </w:pPr>
            <w:r w:rsidRPr="003859B6">
              <w:rPr>
                <w:noProof/>
                <w:lang w:eastAsia="en-GB"/>
              </w:rPr>
              <w:drawing>
                <wp:inline distT="0" distB="0" distL="0" distR="0" wp14:anchorId="6AC788E6" wp14:editId="06119D81">
                  <wp:extent cx="5324475" cy="3318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25691" cy="3319287"/>
                          </a:xfrm>
                          <a:prstGeom prst="rect">
                            <a:avLst/>
                          </a:prstGeom>
                          <a:noFill/>
                          <a:ln>
                            <a:noFill/>
                          </a:ln>
                        </pic:spPr>
                      </pic:pic>
                    </a:graphicData>
                  </a:graphic>
                </wp:inline>
              </w:drawing>
            </w:r>
          </w:p>
          <w:p w:rsidR="00251ED3" w:rsidRPr="003859B6" w:rsidRDefault="00BB6FC6" w:rsidP="001B4D4D">
            <w:pPr>
              <w:pStyle w:val="SourceDescription"/>
              <w:spacing w:after="120"/>
            </w:pPr>
            <w:r w:rsidRPr="003859B6">
              <w:t>S</w:t>
            </w:r>
            <w:r w:rsidR="00251ED3" w:rsidRPr="003859B6">
              <w:t xml:space="preserve">ource: </w:t>
            </w:r>
            <w:r w:rsidR="004C6D31" w:rsidRPr="003859B6">
              <w:t>MMAF</w:t>
            </w:r>
            <w:r w:rsidR="008A2F90" w:rsidRPr="003859B6">
              <w:t xml:space="preserve"> (</w:t>
            </w:r>
            <w:r w:rsidR="00251ED3" w:rsidRPr="003859B6">
              <w:t>201</w:t>
            </w:r>
            <w:r w:rsidR="00433CA3" w:rsidRPr="003859B6">
              <w:t>5</w:t>
            </w:r>
            <w:r w:rsidR="008A2F90" w:rsidRPr="003859B6">
              <w:t>)</w:t>
            </w:r>
            <w:r w:rsidR="000623DD" w:rsidRPr="003859B6">
              <w:rPr>
                <w:b/>
                <w:bCs/>
              </w:rPr>
              <w:t xml:space="preserve"> </w:t>
            </w:r>
          </w:p>
          <w:p w:rsidR="00574EC3" w:rsidRPr="003859B6" w:rsidRDefault="00D3005E" w:rsidP="000623DD">
            <w:pPr>
              <w:pStyle w:val="FigureTitle"/>
            </w:pPr>
            <w:r w:rsidRPr="003859B6">
              <w:rPr>
                <w:noProof/>
              </w:rPr>
              <w:pict w14:anchorId="353600D3">
                <v:shapetype id="_x0000_t202" coordsize="21600,21600" o:spt="202" path="m,l,21600r21600,l21600,xe">
                  <v:stroke joinstyle="miter"/>
                  <v:path gradientshapeok="t" o:connecttype="rect"/>
                </v:shapetype>
                <v:shape id="Text Box 2" o:spid="_x0000_s1067" type="#_x0000_t202" style="position:absolute;left:0;text-align:left;margin-left:339.25pt;margin-top:220pt;width:189.35pt;height:18.65pt;z-index:251658240;visibility:visible;mso-width-percent:400;mso-height-percent:200;mso-width-percent:400;mso-height-percent:200;mso-width-relative:margin;mso-height-relative:margin" filled="f" stroked="f">
                  <v:textbox style="mso-next-textbox:#Text Box 2;mso-fit-shape-to-text:t">
                    <w:txbxContent>
                      <w:p w:rsidR="00B6220B" w:rsidRPr="00574EC3" w:rsidRDefault="00B6220B">
                        <w:pPr>
                          <w:rPr>
                            <w:rFonts w:ascii="Arial Narrow" w:hAnsi="Arial Narrow"/>
                            <w:sz w:val="20"/>
                            <w:szCs w:val="20"/>
                          </w:rPr>
                        </w:pPr>
                        <w:r w:rsidRPr="00574EC3">
                          <w:rPr>
                            <w:rFonts w:ascii="Arial Narrow" w:hAnsi="Arial Narrow"/>
                            <w:sz w:val="20"/>
                            <w:szCs w:val="20"/>
                          </w:rPr>
                          <w:t>Reported catch</w:t>
                        </w:r>
                      </w:p>
                    </w:txbxContent>
                  </v:textbox>
                </v:shape>
              </w:pict>
            </w:r>
            <w:r w:rsidRPr="003859B6">
              <w:rPr>
                <w:noProof/>
                <w:lang w:eastAsia="en-GB"/>
              </w:rPr>
              <w:pict w14:anchorId="051D51AE">
                <v:shapetype id="_x0000_t32" coordsize="21600,21600" o:spt="32" o:oned="t" path="m,l21600,21600e" filled="f">
                  <v:path arrowok="t" fillok="f" o:connecttype="none"/>
                  <o:lock v:ext="edit" shapetype="t"/>
                </v:shapetype>
                <v:shape id="_x0000_s1123" type="#_x0000_t32" style="position:absolute;left:0;text-align:left;margin-left:325.2pt;margin-top:229.55pt;width:18.05pt;height:0;z-index:251658241" o:connectortype="straight"/>
              </w:pict>
            </w:r>
            <w:r w:rsidR="000623DD" w:rsidRPr="003859B6">
              <w:fldChar w:fldCharType="begin"/>
            </w:r>
            <w:r w:rsidR="000623DD" w:rsidRPr="003859B6">
              <w:instrText xml:space="preserve"> MACROBUTTON NUMBERING Figure </w:instrText>
            </w:r>
            <w:r w:rsidR="000623DD" w:rsidRPr="003859B6">
              <w:fldChar w:fldCharType="begin"/>
            </w:r>
            <w:r w:rsidR="000623DD" w:rsidRPr="003859B6">
              <w:instrText xml:space="preserve"> SEQ  figure</w:instrText>
            </w:r>
            <w:r w:rsidR="000623DD" w:rsidRPr="003859B6">
              <w:fldChar w:fldCharType="separate"/>
            </w:r>
            <w:r w:rsidR="003859B6">
              <w:rPr>
                <w:noProof/>
              </w:rPr>
              <w:instrText>4</w:instrText>
            </w:r>
            <w:r w:rsidR="000623DD" w:rsidRPr="003859B6">
              <w:fldChar w:fldCharType="end"/>
            </w:r>
            <w:r w:rsidR="000623DD" w:rsidRPr="003859B6">
              <w:instrText>.</w:instrText>
            </w:r>
            <w:r w:rsidR="000623DD" w:rsidRPr="003859B6">
              <w:tab/>
            </w:r>
            <w:r w:rsidR="000623DD" w:rsidRPr="003859B6">
              <w:fldChar w:fldCharType="end"/>
            </w:r>
            <w:r w:rsidR="000623DD" w:rsidRPr="003859B6">
              <w:t xml:space="preserve"> Capture fisheries by fishing segment, 1950-2010</w:t>
            </w:r>
            <w:r w:rsidR="00A82EC7" w:rsidRPr="003859B6">
              <w:fldChar w:fldCharType="begin"/>
            </w:r>
            <w:r w:rsidR="00A82EC7" w:rsidRPr="003859B6">
              <w:instrText xml:space="preserve"> TC \f f \l 2 "</w:instrText>
            </w:r>
            <w:bookmarkStart w:id="31" w:name="_Toc472354568"/>
            <w:bookmarkStart w:id="32" w:name="_Toc472936614"/>
            <w:bookmarkStart w:id="33" w:name="_Toc472951207"/>
            <w:bookmarkStart w:id="34" w:name="_Toc473280381"/>
            <w:r w:rsidR="00F42EF6" w:rsidRPr="003859B6">
              <w:instrText xml:space="preserve">Figure </w:instrText>
            </w:r>
            <w:r w:rsidR="007A4B66" w:rsidRPr="003859B6">
              <w:instrText>4</w:instrText>
            </w:r>
            <w:r w:rsidR="00F42EF6" w:rsidRPr="003859B6">
              <w:instrText xml:space="preserve"> </w:instrText>
            </w:r>
            <w:r w:rsidR="00A82EC7" w:rsidRPr="003859B6">
              <w:instrText>Capture fisheries by fishing segment, 1950-2010</w:instrText>
            </w:r>
            <w:bookmarkEnd w:id="31"/>
            <w:bookmarkEnd w:id="32"/>
            <w:bookmarkEnd w:id="33"/>
            <w:bookmarkEnd w:id="34"/>
            <w:r w:rsidR="00A82EC7" w:rsidRPr="003859B6">
              <w:instrText xml:space="preserve">"  </w:instrText>
            </w:r>
            <w:r w:rsidR="00A82EC7" w:rsidRPr="003859B6">
              <w:fldChar w:fldCharType="end"/>
            </w:r>
          </w:p>
          <w:p w:rsidR="00F42F6F" w:rsidRPr="003859B6" w:rsidRDefault="00F42F6F" w:rsidP="00251ED3">
            <w:pPr>
              <w:pStyle w:val="SourceDescription"/>
            </w:pPr>
            <w:r w:rsidRPr="003859B6">
              <w:rPr>
                <w:noProof/>
                <w:lang w:eastAsia="en-GB"/>
              </w:rPr>
              <w:drawing>
                <wp:inline distT="0" distB="0" distL="0" distR="0" wp14:anchorId="4CF34035" wp14:editId="07222A31">
                  <wp:extent cx="5410200" cy="33769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12675" cy="3378514"/>
                          </a:xfrm>
                          <a:prstGeom prst="rect">
                            <a:avLst/>
                          </a:prstGeom>
                          <a:noFill/>
                          <a:ln>
                            <a:noFill/>
                          </a:ln>
                        </pic:spPr>
                      </pic:pic>
                    </a:graphicData>
                  </a:graphic>
                </wp:inline>
              </w:drawing>
            </w:r>
          </w:p>
          <w:p w:rsidR="00251ED3" w:rsidRPr="003859B6" w:rsidRDefault="00251ED3" w:rsidP="00251ED3">
            <w:pPr>
              <w:pStyle w:val="SourceDescription"/>
            </w:pPr>
            <w:r w:rsidRPr="003859B6">
              <w:t xml:space="preserve">Source: </w:t>
            </w:r>
            <w:proofErr w:type="spellStart"/>
            <w:r w:rsidRPr="003859B6">
              <w:t>Pauly</w:t>
            </w:r>
            <w:proofErr w:type="spellEnd"/>
            <w:r w:rsidRPr="003859B6">
              <w:t xml:space="preserve"> and </w:t>
            </w:r>
            <w:proofErr w:type="spellStart"/>
            <w:r w:rsidRPr="003859B6">
              <w:t>Budimartono</w:t>
            </w:r>
            <w:proofErr w:type="spellEnd"/>
            <w:r w:rsidRPr="003859B6">
              <w:t xml:space="preserve"> (2015)</w:t>
            </w:r>
          </w:p>
          <w:p w:rsidR="00E46C4C" w:rsidRPr="003859B6" w:rsidRDefault="00E46C4C" w:rsidP="00E46C4C">
            <w:pPr>
              <w:pStyle w:val="BodyText"/>
            </w:pPr>
          </w:p>
          <w:p w:rsidR="00251ED3" w:rsidRPr="003859B6" w:rsidRDefault="00251ED3" w:rsidP="00251ED3">
            <w:pPr>
              <w:pStyle w:val="BoxBodyText"/>
            </w:pPr>
            <w:r w:rsidRPr="003859B6">
              <w:t>Aquaculture production takes place in a large number of ecosystems, including marine, brackish and freshwater, using nets, pens and ponds. By total volume</w:t>
            </w:r>
            <w:r w:rsidR="00D1027B" w:rsidRPr="003859B6">
              <w:t>,</w:t>
            </w:r>
            <w:r w:rsidRPr="003859B6">
              <w:t xml:space="preserve"> seawe</w:t>
            </w:r>
            <w:r w:rsidR="00101A68" w:rsidRPr="003859B6">
              <w:t xml:space="preserve">ed is the </w:t>
            </w:r>
            <w:r w:rsidR="00516DB0" w:rsidRPr="003859B6">
              <w:t>largest</w:t>
            </w:r>
            <w:r w:rsidR="00101A68" w:rsidRPr="003859B6">
              <w:t xml:space="preserve"> output</w:t>
            </w:r>
            <w:r w:rsidR="0054643F" w:rsidRPr="003859B6">
              <w:t>,</w:t>
            </w:r>
            <w:r w:rsidR="00F23AF3" w:rsidRPr="003859B6">
              <w:t xml:space="preserve"> accounting for almost 50% of volume in 2014, </w:t>
            </w:r>
            <w:r w:rsidR="00516DB0" w:rsidRPr="003859B6">
              <w:t xml:space="preserve">although </w:t>
            </w:r>
            <w:r w:rsidR="00F23AF3" w:rsidRPr="003859B6">
              <w:t xml:space="preserve">only a quarter of value (Figure 6). </w:t>
            </w:r>
            <w:r w:rsidR="0054643F" w:rsidRPr="003859B6">
              <w:t>O</w:t>
            </w:r>
            <w:r w:rsidR="00101A68" w:rsidRPr="003859B6">
              <w:t>mnivorous and herbivorous species</w:t>
            </w:r>
            <w:r w:rsidR="0054643F" w:rsidRPr="003859B6">
              <w:t xml:space="preserve"> account for the majority of animal production</w:t>
            </w:r>
            <w:r w:rsidR="00101A68" w:rsidRPr="003859B6">
              <w:t>, with carnivorous species accounting for only about 15% of production in 2014</w:t>
            </w:r>
            <w:r w:rsidR="00350478" w:rsidRPr="003859B6">
              <w:t xml:space="preserve"> (MMAF</w:t>
            </w:r>
            <w:r w:rsidR="007048A0" w:rsidRPr="003859B6">
              <w:t>,</w:t>
            </w:r>
            <w:r w:rsidR="00350478" w:rsidRPr="003859B6">
              <w:t xml:space="preserve"> </w:t>
            </w:r>
            <w:r w:rsidR="007048A0" w:rsidRPr="003859B6">
              <w:t>2016</w:t>
            </w:r>
            <w:r w:rsidR="00350478" w:rsidRPr="003859B6">
              <w:t xml:space="preserve">, see Figure </w:t>
            </w:r>
            <w:r w:rsidR="00772EDE" w:rsidRPr="003859B6">
              <w:t>6</w:t>
            </w:r>
            <w:r w:rsidR="00350478" w:rsidRPr="003859B6">
              <w:t>)</w:t>
            </w:r>
            <w:r w:rsidR="00101A68" w:rsidRPr="003859B6">
              <w:t>.</w:t>
            </w:r>
            <w:r w:rsidRPr="003859B6">
              <w:t xml:space="preserve"> </w:t>
            </w:r>
            <w:r w:rsidR="00350478" w:rsidRPr="003859B6">
              <w:t>S</w:t>
            </w:r>
            <w:r w:rsidRPr="003859B6">
              <w:t xml:space="preserve">hrimp </w:t>
            </w:r>
            <w:r w:rsidR="00350478" w:rsidRPr="003859B6">
              <w:t xml:space="preserve">is the </w:t>
            </w:r>
            <w:r w:rsidR="003922AB" w:rsidRPr="003859B6">
              <w:t>highest</w:t>
            </w:r>
            <w:r w:rsidR="0054643F" w:rsidRPr="003859B6">
              <w:t>-</w:t>
            </w:r>
            <w:r w:rsidR="003922AB" w:rsidRPr="003859B6">
              <w:t>value product</w:t>
            </w:r>
            <w:r w:rsidR="00F23AF3" w:rsidRPr="003859B6">
              <w:t>, accounting for about a quarter of total value</w:t>
            </w:r>
            <w:r w:rsidR="00350478" w:rsidRPr="003859B6">
              <w:t>.</w:t>
            </w:r>
            <w:r w:rsidRPr="003859B6">
              <w:t xml:space="preserve"> Freshwater production in lakes and reservoirs is also significant, with tilapia and milkfish as its main products. While the bulk of aquaculture production </w:t>
            </w:r>
            <w:r w:rsidR="00350478" w:rsidRPr="003859B6">
              <w:t>originates in small-scale</w:t>
            </w:r>
            <w:r w:rsidRPr="003859B6">
              <w:t xml:space="preserve"> traditional</w:t>
            </w:r>
            <w:r w:rsidR="00350478" w:rsidRPr="003859B6">
              <w:t xml:space="preserve"> farms</w:t>
            </w:r>
            <w:r w:rsidRPr="003859B6">
              <w:t xml:space="preserve">, shrimp production is </w:t>
            </w:r>
            <w:r w:rsidR="00350478" w:rsidRPr="003859B6">
              <w:t>highly concentrated in large-scale production centers.</w:t>
            </w:r>
            <w:r w:rsidRPr="003859B6">
              <w:t xml:space="preserve"> </w:t>
            </w:r>
          </w:p>
          <w:p w:rsidR="00251ED3" w:rsidRPr="003859B6" w:rsidRDefault="000623DD" w:rsidP="00251ED3">
            <w:pPr>
              <w:pStyle w:val="FigureTitle"/>
            </w:pPr>
            <w:r w:rsidRPr="003859B6">
              <w:fldChar w:fldCharType="begin"/>
            </w:r>
            <w:r w:rsidRPr="003859B6">
              <w:instrText xml:space="preserve"> MACROBUTTON NUMBERING Figure </w:instrText>
            </w:r>
            <w:r w:rsidRPr="003859B6">
              <w:fldChar w:fldCharType="begin"/>
            </w:r>
            <w:r w:rsidRPr="003859B6">
              <w:instrText xml:space="preserve"> SEQ  figure</w:instrText>
            </w:r>
            <w:r w:rsidRPr="003859B6">
              <w:fldChar w:fldCharType="separate"/>
            </w:r>
            <w:r w:rsidR="003859B6">
              <w:rPr>
                <w:noProof/>
              </w:rPr>
              <w:instrText>5</w:instrText>
            </w:r>
            <w:r w:rsidRPr="003859B6">
              <w:fldChar w:fldCharType="end"/>
            </w:r>
            <w:r w:rsidRPr="003859B6">
              <w:instrText>.</w:instrText>
            </w:r>
            <w:r w:rsidRPr="003859B6">
              <w:tab/>
            </w:r>
            <w:r w:rsidRPr="003859B6">
              <w:fldChar w:fldCharType="end"/>
            </w:r>
            <w:r w:rsidRPr="003859B6">
              <w:t xml:space="preserve"> Composition of aquaculture production by main species (2014)</w:t>
            </w:r>
            <w:r w:rsidR="00A82EC7" w:rsidRPr="003859B6">
              <w:fldChar w:fldCharType="begin"/>
            </w:r>
            <w:r w:rsidR="00A82EC7" w:rsidRPr="003859B6">
              <w:instrText xml:space="preserve"> TC \f f \l 2 "</w:instrText>
            </w:r>
            <w:bookmarkStart w:id="35" w:name="_Toc472354569"/>
            <w:bookmarkStart w:id="36" w:name="_Toc472936615"/>
            <w:bookmarkStart w:id="37" w:name="_Toc472951208"/>
            <w:bookmarkStart w:id="38" w:name="_Toc473280382"/>
            <w:r w:rsidR="00F42EF6" w:rsidRPr="003859B6">
              <w:instrText xml:space="preserve">Figure </w:instrText>
            </w:r>
            <w:r w:rsidR="007A4B66" w:rsidRPr="003859B6">
              <w:instrText>5</w:instrText>
            </w:r>
            <w:r w:rsidR="00F42EF6" w:rsidRPr="003859B6">
              <w:instrText xml:space="preserve"> </w:instrText>
            </w:r>
            <w:r w:rsidR="00A82EC7" w:rsidRPr="003859B6">
              <w:instrText>Composition of aquaculture production by main species (2014)</w:instrText>
            </w:r>
            <w:bookmarkEnd w:id="35"/>
            <w:bookmarkEnd w:id="36"/>
            <w:bookmarkEnd w:id="37"/>
            <w:bookmarkEnd w:id="38"/>
            <w:r w:rsidR="00A82EC7" w:rsidRPr="003859B6">
              <w:instrText xml:space="preserve">"  </w:instrText>
            </w:r>
            <w:r w:rsidR="00A82EC7" w:rsidRPr="003859B6">
              <w:fldChar w:fldCharType="end"/>
            </w:r>
          </w:p>
          <w:p w:rsidR="008E3C12" w:rsidRPr="003859B6" w:rsidRDefault="00F42F6F" w:rsidP="007C009E">
            <w:pPr>
              <w:pStyle w:val="SourceDescription"/>
              <w:rPr>
                <w:sz w:val="18"/>
                <w:szCs w:val="22"/>
                <w:lang w:val="fr-FR"/>
              </w:rPr>
            </w:pPr>
            <w:r w:rsidRPr="003859B6">
              <w:rPr>
                <w:noProof/>
                <w:sz w:val="18"/>
                <w:szCs w:val="22"/>
                <w:lang w:eastAsia="en-GB"/>
              </w:rPr>
              <w:drawing>
                <wp:inline distT="0" distB="0" distL="0" distR="0" wp14:anchorId="11ABAA1E" wp14:editId="456C1260">
                  <wp:extent cx="5290679" cy="3276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86429" cy="3273968"/>
                          </a:xfrm>
                          <a:prstGeom prst="rect">
                            <a:avLst/>
                          </a:prstGeom>
                          <a:noFill/>
                          <a:ln>
                            <a:noFill/>
                          </a:ln>
                        </pic:spPr>
                      </pic:pic>
                    </a:graphicData>
                  </a:graphic>
                </wp:inline>
              </w:drawing>
            </w:r>
            <w:r w:rsidRPr="003859B6" w:rsidDel="00F42F6F">
              <w:rPr>
                <w:sz w:val="18"/>
                <w:szCs w:val="22"/>
                <w:lang w:val="fr-FR"/>
              </w:rPr>
              <w:t xml:space="preserve"> </w:t>
            </w:r>
          </w:p>
          <w:p w:rsidR="00251ED3" w:rsidRPr="003859B6" w:rsidRDefault="007C009E" w:rsidP="007C009E">
            <w:pPr>
              <w:pStyle w:val="SourceDescription"/>
              <w:rPr>
                <w:lang w:val="fr-FR"/>
              </w:rPr>
            </w:pPr>
            <w:r w:rsidRPr="003859B6">
              <w:rPr>
                <w:lang w:val="fr-FR"/>
              </w:rPr>
              <w:t xml:space="preserve">Source: </w:t>
            </w:r>
            <w:proofErr w:type="spellStart"/>
            <w:r w:rsidR="00F67B99" w:rsidRPr="003859B6">
              <w:rPr>
                <w:lang w:val="fr-FR"/>
              </w:rPr>
              <w:t>Tran</w:t>
            </w:r>
            <w:proofErr w:type="spellEnd"/>
            <w:r w:rsidR="00251ED3" w:rsidRPr="003859B6">
              <w:rPr>
                <w:lang w:val="fr-FR"/>
              </w:rPr>
              <w:t xml:space="preserve"> et al</w:t>
            </w:r>
            <w:r w:rsidR="008A2F90" w:rsidRPr="003859B6">
              <w:rPr>
                <w:lang w:val="fr-FR"/>
              </w:rPr>
              <w:t>. (</w:t>
            </w:r>
            <w:proofErr w:type="spellStart"/>
            <w:r w:rsidRPr="003859B6">
              <w:rPr>
                <w:lang w:val="fr-FR"/>
              </w:rPr>
              <w:t>forthcoming</w:t>
            </w:r>
            <w:proofErr w:type="spellEnd"/>
            <w:r w:rsidR="008A2F90" w:rsidRPr="003859B6">
              <w:rPr>
                <w:lang w:val="fr-FR"/>
              </w:rPr>
              <w:t>)</w:t>
            </w:r>
          </w:p>
        </w:tc>
      </w:tr>
    </w:tbl>
    <w:p w:rsidR="00574F7E" w:rsidRPr="003859B6" w:rsidRDefault="00574F7E" w:rsidP="00574F7E">
      <w:pPr>
        <w:pStyle w:val="Num-DocParagraph"/>
        <w:rPr>
          <w:lang w:val="fr-FR"/>
        </w:rPr>
      </w:pPr>
      <w:bookmarkStart w:id="39" w:name="_Toc461788771"/>
      <w:bookmarkStart w:id="40" w:name="_Toc472354576"/>
    </w:p>
    <w:p w:rsidR="00574F7E" w:rsidRPr="003859B6" w:rsidRDefault="00574F7E" w:rsidP="00574F7E">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12</w:instrText>
      </w:r>
      <w:r w:rsidRPr="003859B6">
        <w:fldChar w:fldCharType="end"/>
      </w:r>
      <w:r w:rsidRPr="003859B6">
        <w:instrText>.</w:instrText>
      </w:r>
      <w:r w:rsidRPr="003859B6">
        <w:tab/>
      </w:r>
      <w:r w:rsidRPr="003859B6">
        <w:fldChar w:fldCharType="end"/>
      </w:r>
      <w:r w:rsidRPr="003859B6">
        <w:t>Over the past decade, aquaculture has become the main driver for fish supply growth in Indonesia, expanding at an average rate of over 23% per year between 2005 and 2014 (FAO</w:t>
      </w:r>
      <w:r w:rsidR="00727D42" w:rsidRPr="003859B6">
        <w:t>,</w:t>
      </w:r>
      <w:r w:rsidRPr="003859B6">
        <w:t xml:space="preserve"> 2016</w:t>
      </w:r>
      <w:r w:rsidR="007048A0" w:rsidRPr="003859B6">
        <w:t>b</w:t>
      </w:r>
      <w:r w:rsidRPr="003859B6">
        <w:t>). As a result, the share of aquaculture in total seafood production volume in Indonesia rose from just over 10% in 1960 to almost 50% in 2014 (rising to almost 70% if seaweed production growth is taken into account) (FAO, 2016c). The value of Indonesia’s aquaculture production was USD 10.6 billion in 2014 (FAO 2016</w:t>
      </w:r>
      <w:r w:rsidR="007048A0" w:rsidRPr="003859B6">
        <w:t>c</w:t>
      </w:r>
      <w:r w:rsidRPr="003859B6">
        <w:t xml:space="preserve">), contributing over half the total value of seafood </w:t>
      </w:r>
      <w:r w:rsidR="000B05EA" w:rsidRPr="003859B6">
        <w:t xml:space="preserve">produced </w:t>
      </w:r>
      <w:r w:rsidRPr="003859B6">
        <w:t xml:space="preserve">in </w:t>
      </w:r>
      <w:r w:rsidR="000B05EA" w:rsidRPr="003859B6">
        <w:t xml:space="preserve">the country </w:t>
      </w:r>
      <w:r w:rsidRPr="003859B6">
        <w:t>(OECD</w:t>
      </w:r>
      <w:r w:rsidR="00727D42" w:rsidRPr="003859B6">
        <w:t>,</w:t>
      </w:r>
      <w:r w:rsidRPr="003859B6">
        <w:t xml:space="preserve"> </w:t>
      </w:r>
      <w:r w:rsidR="00425836" w:rsidRPr="003859B6">
        <w:t>2016a</w:t>
      </w:r>
      <w:r w:rsidRPr="003859B6">
        <w:t xml:space="preserve">). According to the </w:t>
      </w:r>
      <w:r w:rsidRPr="003859B6">
        <w:rPr>
          <w:i/>
        </w:rPr>
        <w:t xml:space="preserve">OECD-FAO Outlook </w:t>
      </w:r>
      <w:r w:rsidR="000B05EA" w:rsidRPr="003859B6">
        <w:rPr>
          <w:i/>
        </w:rPr>
        <w:t>2015-2024</w:t>
      </w:r>
      <w:r w:rsidR="000B05EA" w:rsidRPr="003859B6">
        <w:t xml:space="preserve"> </w:t>
      </w:r>
      <w:r w:rsidRPr="003859B6">
        <w:t xml:space="preserve">projections, </w:t>
      </w:r>
      <w:r w:rsidR="000B05EA" w:rsidRPr="003859B6">
        <w:t xml:space="preserve">the </w:t>
      </w:r>
      <w:r w:rsidRPr="003859B6">
        <w:t>strong growth of the aquaculture sector will be maintained in the coming decade, with production peaking at about 6 million tonnes by 2024 (excluding seaweed) while capture production, on the other hand</w:t>
      </w:r>
      <w:r w:rsidR="000B05EA" w:rsidRPr="003859B6">
        <w:t>,</w:t>
      </w:r>
      <w:r w:rsidRPr="003859B6">
        <w:t xml:space="preserve"> is expected to increase only marginally (Figure 4).</w:t>
      </w:r>
    </w:p>
    <w:p w:rsidR="00574F7E" w:rsidRPr="003859B6" w:rsidRDefault="00574F7E" w:rsidP="00574F7E">
      <w:pPr>
        <w:pStyle w:val="FigureTitle"/>
      </w:pPr>
      <w:r w:rsidRPr="003859B6">
        <w:fldChar w:fldCharType="begin"/>
      </w:r>
      <w:r w:rsidRPr="003859B6">
        <w:instrText xml:space="preserve"> MACROBUTTON NUMBERING Figure </w:instrText>
      </w:r>
      <w:r w:rsidRPr="003859B6">
        <w:fldChar w:fldCharType="begin"/>
      </w:r>
      <w:r w:rsidRPr="003859B6">
        <w:instrText xml:space="preserve"> SEQ  figure</w:instrText>
      </w:r>
      <w:r w:rsidRPr="003859B6">
        <w:fldChar w:fldCharType="separate"/>
      </w:r>
      <w:r w:rsidR="003859B6">
        <w:rPr>
          <w:noProof/>
        </w:rPr>
        <w:instrText>6</w:instrText>
      </w:r>
      <w:r w:rsidRPr="003859B6">
        <w:fldChar w:fldCharType="end"/>
      </w:r>
      <w:r w:rsidRPr="003859B6">
        <w:instrText>.</w:instrText>
      </w:r>
      <w:r w:rsidRPr="003859B6">
        <w:tab/>
      </w:r>
      <w:r w:rsidRPr="003859B6">
        <w:fldChar w:fldCharType="end"/>
      </w:r>
      <w:r w:rsidRPr="003859B6">
        <w:t>Projected fisheries and Aquaculture production (excluding seaweed), 2015-2024</w:t>
      </w:r>
      <w:r w:rsidRPr="003859B6">
        <w:fldChar w:fldCharType="begin"/>
      </w:r>
      <w:r w:rsidRPr="003859B6">
        <w:instrText xml:space="preserve"> TC \f f \l 2 "</w:instrText>
      </w:r>
      <w:bookmarkStart w:id="41" w:name="_Toc472936616"/>
      <w:bookmarkStart w:id="42" w:name="_Toc472951209"/>
      <w:bookmarkStart w:id="43" w:name="_Toc473280383"/>
      <w:r w:rsidRPr="003859B6">
        <w:instrText xml:space="preserve">Figure </w:instrText>
      </w:r>
      <w:r w:rsidR="007A4B66" w:rsidRPr="003859B6">
        <w:instrText>6</w:instrText>
      </w:r>
      <w:r w:rsidRPr="003859B6">
        <w:instrText xml:space="preserve"> Projected fisheries and Aquaculture production, 2015-2024</w:instrText>
      </w:r>
      <w:bookmarkEnd w:id="41"/>
      <w:bookmarkEnd w:id="42"/>
      <w:bookmarkEnd w:id="43"/>
      <w:r w:rsidRPr="003859B6">
        <w:instrText xml:space="preserve">"  </w:instrText>
      </w:r>
      <w:r w:rsidRPr="003859B6">
        <w:fldChar w:fldCharType="end"/>
      </w:r>
    </w:p>
    <w:p w:rsidR="00574F7E" w:rsidRPr="003859B6" w:rsidRDefault="00574F7E" w:rsidP="00574F7E">
      <w:pPr>
        <w:pStyle w:val="Graphic"/>
        <w:rPr>
          <w:b/>
        </w:rPr>
      </w:pPr>
      <w:r w:rsidRPr="003859B6">
        <w:rPr>
          <w:noProof/>
          <w:lang w:eastAsia="en-GB"/>
        </w:rPr>
        <w:drawing>
          <wp:inline distT="0" distB="0" distL="0" distR="0" wp14:anchorId="0134F089" wp14:editId="3A70902F">
            <wp:extent cx="5731510" cy="2252753"/>
            <wp:effectExtent l="0" t="0" r="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4F7E" w:rsidRPr="003859B6" w:rsidRDefault="00574F7E" w:rsidP="00574F7E">
      <w:pPr>
        <w:pStyle w:val="BodyText"/>
        <w:ind w:firstLine="0"/>
        <w:jc w:val="left"/>
        <w:rPr>
          <w:sz w:val="20"/>
          <w:szCs w:val="20"/>
        </w:rPr>
      </w:pPr>
      <w:r w:rsidRPr="003859B6">
        <w:rPr>
          <w:sz w:val="20"/>
          <w:szCs w:val="20"/>
        </w:rPr>
        <w:t>Source: OECD/FAO (2016).</w:t>
      </w:r>
    </w:p>
    <w:p w:rsidR="006955F8" w:rsidRPr="003859B6" w:rsidRDefault="00263793" w:rsidP="006955F8">
      <w:pPr>
        <w:pStyle w:val="Heading3"/>
      </w:pPr>
      <w:bookmarkStart w:id="44" w:name="_Toc472936623"/>
      <w:bookmarkStart w:id="45" w:name="_Toc472954971"/>
      <w:bookmarkStart w:id="46" w:name="_Toc474487627"/>
      <w:bookmarkEnd w:id="39"/>
      <w:bookmarkEnd w:id="40"/>
      <w:r w:rsidRPr="003859B6">
        <w:t>Government focus on food sovereignty</w:t>
      </w:r>
      <w:bookmarkEnd w:id="44"/>
      <w:bookmarkEnd w:id="45"/>
      <w:bookmarkEnd w:id="46"/>
    </w:p>
    <w:p w:rsidR="006955F8" w:rsidRPr="003859B6" w:rsidRDefault="006955F8" w:rsidP="006955F8">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13</w:instrText>
      </w:r>
      <w:r w:rsidRPr="003859B6">
        <w:fldChar w:fldCharType="end"/>
      </w:r>
      <w:r w:rsidRPr="003859B6">
        <w:instrText>.</w:instrText>
      </w:r>
      <w:r w:rsidRPr="003859B6">
        <w:tab/>
      </w:r>
      <w:r w:rsidRPr="003859B6">
        <w:fldChar w:fldCharType="end"/>
      </w:r>
      <w:r w:rsidRPr="003859B6">
        <w:t xml:space="preserve"> Fisheries and aquaculture policies in Indonesia can be seen as the product of two main political </w:t>
      </w:r>
      <w:r w:rsidR="00ED129E" w:rsidRPr="003859B6">
        <w:t>orientations</w:t>
      </w:r>
      <w:r w:rsidRPr="003859B6">
        <w:t xml:space="preserve">. First, like other governments in the ASEAN region, Indonesia has approached the problem of food security and nutrition primarily from the perspective of increasing </w:t>
      </w:r>
      <w:r w:rsidR="0094477A" w:rsidRPr="003859B6">
        <w:t xml:space="preserve">the </w:t>
      </w:r>
      <w:r w:rsidRPr="003859B6">
        <w:t xml:space="preserve">volumes of food available, coupled with </w:t>
      </w:r>
      <w:r w:rsidR="0094477A" w:rsidRPr="003859B6">
        <w:t xml:space="preserve">the </w:t>
      </w:r>
      <w:r w:rsidRPr="003859B6">
        <w:t>objective of relying on domestically-produced commodities as much as possible (OECD, 2016</w:t>
      </w:r>
      <w:r w:rsidR="00C82E96" w:rsidRPr="003859B6">
        <w:t>a</w:t>
      </w:r>
      <w:r w:rsidRPr="003859B6">
        <w:t>).</w:t>
      </w:r>
      <w:r w:rsidRPr="003859B6">
        <w:rPr>
          <w:rStyle w:val="FootnoteReference"/>
        </w:rPr>
        <w:footnoteReference w:id="5"/>
      </w:r>
      <w:r w:rsidRPr="003859B6">
        <w:t xml:space="preserve"> In this context, the main objective for the fisheries and aquaculture sector</w:t>
      </w:r>
      <w:r w:rsidRPr="003859B6" w:rsidDel="00C57907">
        <w:t xml:space="preserve"> </w:t>
      </w:r>
      <w:r w:rsidRPr="003859B6">
        <w:t xml:space="preserve">is to increase domestic production in order to increase the availability of seafood in the country, as well as </w:t>
      </w:r>
      <w:r w:rsidR="0094477A" w:rsidRPr="003859B6">
        <w:t xml:space="preserve">to </w:t>
      </w:r>
      <w:r w:rsidRPr="003859B6">
        <w:t xml:space="preserve">support the livelihoods of artisanal fishers and aquaculture producers. </w:t>
      </w:r>
    </w:p>
    <w:p w:rsidR="006955F8" w:rsidRPr="003859B6" w:rsidRDefault="006955F8" w:rsidP="006955F8">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14</w:instrText>
      </w:r>
      <w:r w:rsidRPr="003859B6">
        <w:fldChar w:fldCharType="end"/>
      </w:r>
      <w:r w:rsidRPr="003859B6">
        <w:instrText>.</w:instrText>
      </w:r>
      <w:r w:rsidRPr="003859B6">
        <w:tab/>
      </w:r>
      <w:r w:rsidRPr="003859B6">
        <w:fldChar w:fldCharType="end"/>
      </w:r>
      <w:r w:rsidRPr="003859B6">
        <w:t xml:space="preserve">Second, President </w:t>
      </w:r>
      <w:proofErr w:type="spellStart"/>
      <w:r w:rsidRPr="003859B6">
        <w:t>Joko</w:t>
      </w:r>
      <w:proofErr w:type="spellEnd"/>
      <w:r w:rsidRPr="003859B6">
        <w:t xml:space="preserve"> </w:t>
      </w:r>
      <w:proofErr w:type="spellStart"/>
      <w:r w:rsidRPr="003859B6">
        <w:t>Widodo</w:t>
      </w:r>
      <w:proofErr w:type="spellEnd"/>
      <w:r w:rsidRPr="003859B6">
        <w:t xml:space="preserve">, known as President </w:t>
      </w:r>
      <w:proofErr w:type="spellStart"/>
      <w:r w:rsidRPr="003859B6">
        <w:t>Jokowi</w:t>
      </w:r>
      <w:proofErr w:type="spellEnd"/>
      <w:r w:rsidRPr="003859B6">
        <w:t xml:space="preserve">, who was elected in July 2014, </w:t>
      </w:r>
      <w:r w:rsidR="00473108" w:rsidRPr="003859B6">
        <w:t xml:space="preserve">has announced his intention </w:t>
      </w:r>
      <w:r w:rsidRPr="003859B6">
        <w:t xml:space="preserve">to position Indonesia as a </w:t>
      </w:r>
      <w:r w:rsidR="00473108" w:rsidRPr="003859B6">
        <w:t xml:space="preserve">regional </w:t>
      </w:r>
      <w:r w:rsidRPr="003859B6">
        <w:t>maritime power, making maritime and fisher</w:t>
      </w:r>
      <w:r w:rsidR="00473108" w:rsidRPr="003859B6">
        <w:t>ies</w:t>
      </w:r>
      <w:r w:rsidRPr="003859B6">
        <w:t xml:space="preserve"> polic</w:t>
      </w:r>
      <w:r w:rsidR="00473108" w:rsidRPr="003859B6">
        <w:t>y</w:t>
      </w:r>
      <w:r w:rsidRPr="003859B6">
        <w:t xml:space="preserve"> a central priority for his administration.</w:t>
      </w:r>
      <w:r w:rsidRPr="003859B6">
        <w:rPr>
          <w:vertAlign w:val="superscript"/>
        </w:rPr>
        <w:footnoteReference w:id="6"/>
      </w:r>
      <w:r w:rsidRPr="003859B6">
        <w:rPr>
          <w:vertAlign w:val="superscript"/>
        </w:rPr>
        <w:t xml:space="preserve"> </w:t>
      </w:r>
      <w:r w:rsidRPr="003859B6">
        <w:t xml:space="preserve">In 2015, the budget of the Ministry </w:t>
      </w:r>
      <w:r w:rsidR="009F0ADF" w:rsidRPr="003859B6">
        <w:t xml:space="preserve">of </w:t>
      </w:r>
      <w:r w:rsidRPr="003859B6">
        <w:t xml:space="preserve">Marine Affairs and Fisheries (MMAF) </w:t>
      </w:r>
      <w:r w:rsidR="00473108" w:rsidRPr="003859B6">
        <w:t xml:space="preserve">was </w:t>
      </w:r>
      <w:r w:rsidRPr="003859B6">
        <w:t>almost doubled</w:t>
      </w:r>
      <w:r w:rsidR="00BB451A" w:rsidRPr="003859B6">
        <w:t>,</w:t>
      </w:r>
      <w:r w:rsidRPr="003859B6">
        <w:t xml:space="preserve"> and unprecedented powers </w:t>
      </w:r>
      <w:r w:rsidR="00BB451A" w:rsidRPr="003859B6">
        <w:t xml:space="preserve">were given </w:t>
      </w:r>
      <w:r w:rsidRPr="003859B6">
        <w:t xml:space="preserve">to </w:t>
      </w:r>
      <w:r w:rsidR="00E34962" w:rsidRPr="003859B6">
        <w:t xml:space="preserve">its </w:t>
      </w:r>
      <w:r w:rsidRPr="003859B6">
        <w:t>minister</w:t>
      </w:r>
      <w:r w:rsidR="00473108" w:rsidRPr="003859B6">
        <w:t>,</w:t>
      </w:r>
      <w:r w:rsidRPr="003859B6">
        <w:t xml:space="preserve"> Susi </w:t>
      </w:r>
      <w:proofErr w:type="spellStart"/>
      <w:r w:rsidRPr="003859B6">
        <w:t>Pujiastuti</w:t>
      </w:r>
      <w:proofErr w:type="spellEnd"/>
      <w:r w:rsidRPr="003859B6">
        <w:t xml:space="preserve">, who is both in charge of maritime and fisheries policies and head of the newly created Presidential Task Force to Combat Illegal Fishing. Territorial issues feature prominently on the </w:t>
      </w:r>
      <w:r w:rsidR="00473108" w:rsidRPr="003859B6">
        <w:t>p</w:t>
      </w:r>
      <w:r w:rsidRPr="003859B6">
        <w:t xml:space="preserve">residential political agenda, with implications for fisheries ranging from increased support </w:t>
      </w:r>
      <w:r w:rsidR="00E34962" w:rsidRPr="003859B6">
        <w:t xml:space="preserve">for </w:t>
      </w:r>
      <w:r w:rsidRPr="003859B6">
        <w:t>economic activities in the outer islands bordering neighbouring countries</w:t>
      </w:r>
      <w:r w:rsidR="00E34962" w:rsidRPr="003859B6">
        <w:t>,</w:t>
      </w:r>
      <w:r w:rsidRPr="003859B6">
        <w:t xml:space="preserve"> to the promotion of a domestic ship-building industry.</w:t>
      </w:r>
    </w:p>
    <w:p w:rsidR="00294922" w:rsidRPr="003859B6" w:rsidRDefault="00294922" w:rsidP="006955F8">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15</w:instrText>
      </w:r>
      <w:r w:rsidRPr="003859B6">
        <w:fldChar w:fldCharType="end"/>
      </w:r>
      <w:r w:rsidRPr="003859B6">
        <w:instrText>.</w:instrText>
      </w:r>
      <w:r w:rsidRPr="003859B6">
        <w:tab/>
      </w:r>
      <w:r w:rsidRPr="003859B6">
        <w:fldChar w:fldCharType="end"/>
      </w:r>
      <w:r w:rsidR="006955F8" w:rsidRPr="003859B6">
        <w:t xml:space="preserve"> </w:t>
      </w:r>
      <w:r w:rsidR="00E34962" w:rsidRPr="003859B6">
        <w:t xml:space="preserve">The </w:t>
      </w:r>
      <w:r w:rsidR="006955F8" w:rsidRPr="003859B6">
        <w:t xml:space="preserve">MMAF </w:t>
      </w:r>
      <w:r w:rsidR="00473108" w:rsidRPr="003859B6">
        <w:t>S</w:t>
      </w:r>
      <w:r w:rsidR="006955F8" w:rsidRPr="003859B6">
        <w:t xml:space="preserve">trategic </w:t>
      </w:r>
      <w:r w:rsidR="00473108" w:rsidRPr="003859B6">
        <w:t>P</w:t>
      </w:r>
      <w:r w:rsidR="006955F8" w:rsidRPr="003859B6">
        <w:t>lan 2015-2019, which provides strategic direction on the main issues facing the sector</w:t>
      </w:r>
      <w:r w:rsidR="00473108" w:rsidRPr="003859B6">
        <w:t xml:space="preserve">, </w:t>
      </w:r>
      <w:r w:rsidR="00E34962" w:rsidRPr="003859B6">
        <w:t>embodies</w:t>
      </w:r>
      <w:r w:rsidR="00473108" w:rsidRPr="003859B6">
        <w:t xml:space="preserve"> these political aims</w:t>
      </w:r>
      <w:r w:rsidR="006955F8" w:rsidRPr="003859B6">
        <w:t xml:space="preserve">. </w:t>
      </w:r>
      <w:r w:rsidR="00473108" w:rsidRPr="003859B6">
        <w:t>While t</w:t>
      </w:r>
      <w:r w:rsidR="006955F8" w:rsidRPr="003859B6">
        <w:t xml:space="preserve">he plan describes the </w:t>
      </w:r>
      <w:r w:rsidR="00E34962" w:rsidRPr="003859B6">
        <w:t>g</w:t>
      </w:r>
      <w:r w:rsidR="00AD0571" w:rsidRPr="003859B6">
        <w:t>overnmental</w:t>
      </w:r>
      <w:r w:rsidR="00E34962" w:rsidRPr="003859B6">
        <w:t xml:space="preserve"> </w:t>
      </w:r>
      <w:r w:rsidR="006955F8" w:rsidRPr="003859B6">
        <w:t>strategy as being organi</w:t>
      </w:r>
      <w:r w:rsidR="00473108" w:rsidRPr="003859B6">
        <w:t>s</w:t>
      </w:r>
      <w:r w:rsidR="006955F8" w:rsidRPr="003859B6">
        <w:t>ed around three pillars: sovereignty, sustainability and prosperity</w:t>
      </w:r>
      <w:r w:rsidR="00473108" w:rsidRPr="003859B6">
        <w:t>, it</w:t>
      </w:r>
      <w:r w:rsidR="006955F8" w:rsidRPr="003859B6">
        <w:t xml:space="preserve"> focuses m</w:t>
      </w:r>
      <w:r w:rsidR="00473108" w:rsidRPr="003859B6">
        <w:t>ainly</w:t>
      </w:r>
      <w:r w:rsidR="006955F8" w:rsidRPr="003859B6">
        <w:t xml:space="preserve"> on increasing domestic seafood production</w:t>
      </w:r>
      <w:r w:rsidRPr="003859B6">
        <w:t xml:space="preserve"> and contains annual production and revenue generation targets.</w:t>
      </w:r>
      <w:r w:rsidR="006955F8" w:rsidRPr="003859B6">
        <w:t xml:space="preserve"> </w:t>
      </w:r>
    </w:p>
    <w:p w:rsidR="00BF5B01" w:rsidRPr="003859B6" w:rsidRDefault="00294922" w:rsidP="006955F8">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16</w:instrText>
      </w:r>
      <w:r w:rsidRPr="003859B6">
        <w:fldChar w:fldCharType="end"/>
      </w:r>
      <w:r w:rsidRPr="003859B6">
        <w:instrText>.</w:instrText>
      </w:r>
      <w:r w:rsidRPr="003859B6">
        <w:tab/>
      </w:r>
      <w:r w:rsidRPr="003859B6">
        <w:fldChar w:fldCharType="end"/>
      </w:r>
      <w:r w:rsidRPr="003859B6">
        <w:t>Under the Strategic Plan, government action will focus on the following</w:t>
      </w:r>
      <w:r w:rsidRPr="003859B6" w:rsidDel="004A1E40">
        <w:t>:</w:t>
      </w:r>
      <w:r w:rsidR="006955F8" w:rsidRPr="003859B6">
        <w:t xml:space="preserve"> </w:t>
      </w:r>
    </w:p>
    <w:p w:rsidR="00BF5B01" w:rsidRPr="003859B6" w:rsidRDefault="00BF5B01" w:rsidP="00BF5B01">
      <w:pPr>
        <w:pStyle w:val="Num-DocParagraph"/>
        <w:numPr>
          <w:ilvl w:val="0"/>
          <w:numId w:val="27"/>
        </w:numPr>
      </w:pPr>
      <w:r w:rsidRPr="003859B6">
        <w:t>A</w:t>
      </w:r>
      <w:r w:rsidR="006955F8" w:rsidRPr="003859B6">
        <w:t xml:space="preserve"> strong and unprecedented stance against illegal fishing, which </w:t>
      </w:r>
      <w:r w:rsidR="00E94A09" w:rsidRPr="003859B6">
        <w:t>involved an increase</w:t>
      </w:r>
      <w:r w:rsidR="006955F8" w:rsidRPr="003859B6">
        <w:t xml:space="preserve"> of the </w:t>
      </w:r>
      <w:r w:rsidR="00E94A09" w:rsidRPr="003859B6">
        <w:t>budget allocated to s</w:t>
      </w:r>
      <w:r w:rsidR="006955F8" w:rsidRPr="003859B6">
        <w:t xml:space="preserve">urveillance by 130% between 2014 and 2015 (Figure </w:t>
      </w:r>
      <w:r w:rsidR="00D94ABB" w:rsidRPr="003859B6">
        <w:t>7</w:t>
      </w:r>
      <w:r w:rsidR="006955F8" w:rsidRPr="003859B6">
        <w:t>)</w:t>
      </w:r>
      <w:r w:rsidRPr="003859B6">
        <w:t>;</w:t>
      </w:r>
    </w:p>
    <w:p w:rsidR="00BF5B01" w:rsidRPr="003859B6" w:rsidRDefault="00BF5B01" w:rsidP="00BF5B01">
      <w:pPr>
        <w:pStyle w:val="Num-DocParagraph"/>
        <w:numPr>
          <w:ilvl w:val="0"/>
          <w:numId w:val="27"/>
        </w:numPr>
      </w:pPr>
      <w:r w:rsidRPr="003859B6">
        <w:t>T</w:t>
      </w:r>
      <w:r w:rsidR="006955F8" w:rsidRPr="003859B6">
        <w:t>he prioritisation of artisanal fishing</w:t>
      </w:r>
      <w:r w:rsidR="004A1E40" w:rsidRPr="003859B6">
        <w:t>,</w:t>
      </w:r>
      <w:r w:rsidR="006955F8" w:rsidRPr="003859B6">
        <w:t xml:space="preserve"> </w:t>
      </w:r>
      <w:r w:rsidR="00E94A09" w:rsidRPr="003859B6">
        <w:t xml:space="preserve">by closing </w:t>
      </w:r>
      <w:r w:rsidR="006955F8" w:rsidRPr="003859B6">
        <w:t>Indonesian waters to</w:t>
      </w:r>
      <w:r w:rsidR="00D94ABB" w:rsidRPr="003859B6">
        <w:t xml:space="preserve"> all foreign-built</w:t>
      </w:r>
      <w:r w:rsidR="006955F8" w:rsidRPr="003859B6">
        <w:t xml:space="preserve"> industrial vessels and </w:t>
      </w:r>
      <w:r w:rsidR="00E94A09" w:rsidRPr="003859B6">
        <w:t xml:space="preserve">providing </w:t>
      </w:r>
      <w:r w:rsidR="006955F8" w:rsidRPr="003859B6">
        <w:t>support to moderni</w:t>
      </w:r>
      <w:r w:rsidR="00E94A09" w:rsidRPr="003859B6">
        <w:t>s</w:t>
      </w:r>
      <w:r w:rsidR="006955F8" w:rsidRPr="003859B6">
        <w:t xml:space="preserve">e the artisanal fleet; </w:t>
      </w:r>
    </w:p>
    <w:p w:rsidR="00BF5B01" w:rsidRPr="003859B6" w:rsidRDefault="00E94A09" w:rsidP="00BF5B01">
      <w:pPr>
        <w:pStyle w:val="Num-DocParagraph"/>
        <w:numPr>
          <w:ilvl w:val="0"/>
          <w:numId w:val="27"/>
        </w:numPr>
      </w:pPr>
      <w:r w:rsidRPr="003859B6">
        <w:t>The provision of s</w:t>
      </w:r>
      <w:r w:rsidR="006955F8" w:rsidRPr="003859B6">
        <w:t>upport to artisanal aquaculture expansion</w:t>
      </w:r>
      <w:r w:rsidR="004A1E40" w:rsidRPr="003859B6">
        <w:t>,</w:t>
      </w:r>
      <w:r w:rsidR="006955F8" w:rsidRPr="003859B6">
        <w:t xml:space="preserve"> </w:t>
      </w:r>
      <w:r w:rsidR="00BF5B01" w:rsidRPr="003859B6">
        <w:t xml:space="preserve">by </w:t>
      </w:r>
      <w:r w:rsidRPr="003859B6">
        <w:t>creating</w:t>
      </w:r>
      <w:r w:rsidR="00BF5B01" w:rsidRPr="003859B6">
        <w:t xml:space="preserve"> artisanal co</w:t>
      </w:r>
      <w:r w:rsidR="004A1E40" w:rsidRPr="003859B6">
        <w:t>-</w:t>
      </w:r>
      <w:r w:rsidR="00BF5B01" w:rsidRPr="003859B6">
        <w:t xml:space="preserve">operatives and </w:t>
      </w:r>
      <w:r w:rsidRPr="003859B6">
        <w:t xml:space="preserve">developing the production of </w:t>
      </w:r>
      <w:r w:rsidR="00BF5B01" w:rsidRPr="003859B6">
        <w:t xml:space="preserve">feed </w:t>
      </w:r>
      <w:r w:rsidRPr="003859B6">
        <w:t>with</w:t>
      </w:r>
      <w:r w:rsidR="00BF5B01" w:rsidRPr="003859B6">
        <w:t xml:space="preserve"> locally-</w:t>
      </w:r>
      <w:r w:rsidR="004A1E40" w:rsidRPr="003859B6">
        <w:t xml:space="preserve">sourced </w:t>
      </w:r>
      <w:r w:rsidR="00BF5B01" w:rsidRPr="003859B6">
        <w:t xml:space="preserve">ingredients, </w:t>
      </w:r>
      <w:r w:rsidR="006955F8" w:rsidRPr="003859B6">
        <w:t xml:space="preserve">in line with objectives pursued </w:t>
      </w:r>
      <w:r w:rsidRPr="003859B6">
        <w:t xml:space="preserve">by the previous administration’s </w:t>
      </w:r>
      <w:r w:rsidR="006955F8" w:rsidRPr="003859B6">
        <w:t xml:space="preserve">Blue Economy programme initiated in 2014; </w:t>
      </w:r>
    </w:p>
    <w:p w:rsidR="00BF5B01" w:rsidRPr="003859B6" w:rsidRDefault="004F2E21" w:rsidP="00BF5B01">
      <w:pPr>
        <w:pStyle w:val="Num-DocParagraph"/>
        <w:numPr>
          <w:ilvl w:val="0"/>
          <w:numId w:val="27"/>
        </w:numPr>
      </w:pPr>
      <w:r w:rsidRPr="003859B6">
        <w:t>The introduction of r</w:t>
      </w:r>
      <w:r w:rsidR="006955F8" w:rsidRPr="003859B6">
        <w:t>estrictive trade and investment policies</w:t>
      </w:r>
      <w:r w:rsidR="00EF08EE" w:rsidRPr="003859B6">
        <w:t>, notably in the shipping industry,</w:t>
      </w:r>
      <w:r w:rsidR="00BF5B01" w:rsidRPr="003859B6">
        <w:t xml:space="preserve"> to protect domestic </w:t>
      </w:r>
      <w:r w:rsidR="00EF08EE" w:rsidRPr="003859B6">
        <w:t xml:space="preserve">industries, </w:t>
      </w:r>
      <w:r w:rsidR="00BF5B01" w:rsidRPr="003859B6">
        <w:t>producers and fishers from competition</w:t>
      </w:r>
      <w:r w:rsidR="006955F8" w:rsidRPr="003859B6">
        <w:t>.</w:t>
      </w:r>
      <w:r w:rsidR="00D94ABB" w:rsidRPr="003859B6">
        <w:t xml:space="preserve"> </w:t>
      </w:r>
    </w:p>
    <w:p w:rsidR="006955F8" w:rsidRPr="003859B6" w:rsidRDefault="006955F8" w:rsidP="006955F8">
      <w:pPr>
        <w:pStyle w:val="FigureTitle"/>
      </w:pPr>
      <w:r w:rsidRPr="003859B6">
        <w:fldChar w:fldCharType="begin"/>
      </w:r>
      <w:r w:rsidRPr="003859B6">
        <w:instrText xml:space="preserve"> MACROBUTTON NUMBERING Figure </w:instrText>
      </w:r>
      <w:r w:rsidRPr="003859B6">
        <w:fldChar w:fldCharType="begin"/>
      </w:r>
      <w:r w:rsidRPr="003859B6">
        <w:instrText xml:space="preserve"> SEQ  figure</w:instrText>
      </w:r>
      <w:r w:rsidRPr="003859B6">
        <w:fldChar w:fldCharType="separate"/>
      </w:r>
      <w:r w:rsidR="003859B6">
        <w:rPr>
          <w:noProof/>
        </w:rPr>
        <w:instrText>7</w:instrText>
      </w:r>
      <w:r w:rsidRPr="003859B6">
        <w:fldChar w:fldCharType="end"/>
      </w:r>
      <w:r w:rsidRPr="003859B6">
        <w:instrText>.</w:instrText>
      </w:r>
      <w:r w:rsidRPr="003859B6">
        <w:tab/>
      </w:r>
      <w:r w:rsidRPr="003859B6">
        <w:fldChar w:fldCharType="end"/>
      </w:r>
      <w:r w:rsidRPr="003859B6">
        <w:t>Budget allocation for the main entities of MMAF, 2014 and 2015</w:t>
      </w:r>
      <w:r w:rsidRPr="003859B6">
        <w:fldChar w:fldCharType="begin"/>
      </w:r>
      <w:r w:rsidRPr="003859B6">
        <w:instrText xml:space="preserve"> TC \f f \l 2 "</w:instrText>
      </w:r>
      <w:bookmarkStart w:id="47" w:name="_Toc472354570"/>
      <w:bookmarkStart w:id="48" w:name="_Toc472936617"/>
      <w:bookmarkStart w:id="49" w:name="_Toc472951210"/>
      <w:bookmarkStart w:id="50" w:name="_Toc473280384"/>
      <w:r w:rsidRPr="003859B6">
        <w:instrText xml:space="preserve">Figure </w:instrText>
      </w:r>
      <w:r w:rsidRPr="003859B6">
        <w:fldChar w:fldCharType="begin"/>
      </w:r>
      <w:r w:rsidRPr="003859B6">
        <w:instrText xml:space="preserve"> SEQ  \c figure</w:instrText>
      </w:r>
      <w:r w:rsidRPr="003859B6">
        <w:fldChar w:fldCharType="separate"/>
      </w:r>
      <w:r w:rsidR="003859B6">
        <w:rPr>
          <w:noProof/>
        </w:rPr>
        <w:instrText>7</w:instrText>
      </w:r>
      <w:r w:rsidRPr="003859B6">
        <w:fldChar w:fldCharType="end"/>
      </w:r>
      <w:r w:rsidRPr="003859B6">
        <w:instrText>.Budget allocation for the main entities of MMAF, 2014 and 2015</w:instrText>
      </w:r>
      <w:bookmarkEnd w:id="47"/>
      <w:bookmarkEnd w:id="48"/>
      <w:bookmarkEnd w:id="49"/>
      <w:bookmarkEnd w:id="50"/>
      <w:r w:rsidRPr="003859B6">
        <w:instrText xml:space="preserve">"  </w:instrText>
      </w:r>
      <w:r w:rsidRPr="003859B6">
        <w:fldChar w:fldCharType="end"/>
      </w:r>
    </w:p>
    <w:p w:rsidR="006955F8" w:rsidRPr="003859B6" w:rsidRDefault="003A383D" w:rsidP="006955F8">
      <w:pPr>
        <w:pStyle w:val="Graphic"/>
      </w:pPr>
      <w:r w:rsidRPr="003859B6">
        <w:rPr>
          <w:noProof/>
          <w:lang w:eastAsia="en-GB"/>
        </w:rPr>
        <w:drawing>
          <wp:inline distT="0" distB="0" distL="0" distR="0" wp14:anchorId="5949874B" wp14:editId="343119B3">
            <wp:extent cx="5555615" cy="34677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55615" cy="3467735"/>
                    </a:xfrm>
                    <a:prstGeom prst="rect">
                      <a:avLst/>
                    </a:prstGeom>
                    <a:noFill/>
                    <a:ln>
                      <a:noFill/>
                    </a:ln>
                  </pic:spPr>
                </pic:pic>
              </a:graphicData>
            </a:graphic>
          </wp:inline>
        </w:drawing>
      </w:r>
    </w:p>
    <w:p w:rsidR="00F64A99" w:rsidRPr="003859B6" w:rsidRDefault="00F67B99" w:rsidP="00F64A99">
      <w:pPr>
        <w:pStyle w:val="SourceDescription"/>
      </w:pPr>
      <w:r w:rsidRPr="003859B6">
        <w:t xml:space="preserve">Source: </w:t>
      </w:r>
      <w:r w:rsidR="006955F8" w:rsidRPr="003859B6">
        <w:t>MMAF</w:t>
      </w:r>
      <w:r w:rsidR="00B97D9A" w:rsidRPr="003859B6">
        <w:t xml:space="preserve"> (2016)</w:t>
      </w:r>
      <w:r w:rsidR="004A1E40" w:rsidRPr="003859B6">
        <w:t>.</w:t>
      </w:r>
    </w:p>
    <w:p w:rsidR="00A20382" w:rsidRPr="003859B6" w:rsidRDefault="00A80A1E" w:rsidP="00A80A1E">
      <w:pPr>
        <w:pStyle w:val="Heading2"/>
      </w:pPr>
      <w:bookmarkStart w:id="51" w:name="_Toc472936624"/>
      <w:bookmarkStart w:id="52" w:name="_Toc472954972"/>
      <w:bookmarkStart w:id="53" w:name="_Toc474487628"/>
      <w:r w:rsidRPr="003859B6">
        <w:t xml:space="preserve">2. </w:t>
      </w:r>
      <w:r w:rsidR="00B24F70" w:rsidRPr="003859B6">
        <w:t xml:space="preserve">Sustainable management of </w:t>
      </w:r>
      <w:r w:rsidR="00A20382" w:rsidRPr="003859B6">
        <w:t>natural resources for future food security</w:t>
      </w:r>
      <w:bookmarkEnd w:id="51"/>
      <w:bookmarkEnd w:id="52"/>
      <w:bookmarkEnd w:id="53"/>
    </w:p>
    <w:p w:rsidR="00A20382" w:rsidRPr="003859B6" w:rsidRDefault="00263793" w:rsidP="00A20382">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17</w:instrText>
      </w:r>
      <w:r w:rsidRPr="003859B6">
        <w:fldChar w:fldCharType="end"/>
      </w:r>
      <w:r w:rsidRPr="003859B6">
        <w:instrText>.</w:instrText>
      </w:r>
      <w:r w:rsidRPr="003859B6">
        <w:tab/>
      </w:r>
      <w:r w:rsidRPr="003859B6">
        <w:fldChar w:fldCharType="end"/>
      </w:r>
      <w:r w:rsidR="006369D4" w:rsidRPr="003859B6">
        <w:t>S</w:t>
      </w:r>
      <w:r w:rsidR="004A1E40" w:rsidRPr="003859B6">
        <w:t>ection</w:t>
      </w:r>
      <w:r w:rsidR="006369D4" w:rsidRPr="003859B6">
        <w:t>s 2 and 3</w:t>
      </w:r>
      <w:r w:rsidR="004A1E40" w:rsidRPr="003859B6">
        <w:t xml:space="preserve"> consider </w:t>
      </w:r>
      <w:r w:rsidR="00A20382" w:rsidRPr="003859B6">
        <w:t xml:space="preserve">the policies </w:t>
      </w:r>
      <w:r w:rsidR="004A1E40" w:rsidRPr="003859B6">
        <w:t xml:space="preserve">that are </w:t>
      </w:r>
      <w:r w:rsidR="00A20382" w:rsidRPr="003859B6">
        <w:t xml:space="preserve">currently in place in Indonesia in light of the priorities identified by the OECD </w:t>
      </w:r>
      <w:r w:rsidR="00D2707E" w:rsidRPr="003859B6">
        <w:t>as key for</w:t>
      </w:r>
      <w:r w:rsidR="00A20382" w:rsidRPr="003859B6">
        <w:t xml:space="preserve"> </w:t>
      </w:r>
      <w:r w:rsidR="00D2707E" w:rsidRPr="003859B6">
        <w:t>improving</w:t>
      </w:r>
      <w:r w:rsidR="00A20382" w:rsidRPr="003859B6">
        <w:t xml:space="preserve"> food security</w:t>
      </w:r>
      <w:r w:rsidR="004A1E40" w:rsidRPr="003859B6">
        <w:t>,</w:t>
      </w:r>
      <w:r w:rsidR="00A20382" w:rsidRPr="003859B6" w:rsidDel="00A20382">
        <w:t xml:space="preserve"> </w:t>
      </w:r>
      <w:r w:rsidR="004A1E40" w:rsidRPr="003859B6">
        <w:t>with a view</w:t>
      </w:r>
      <w:r w:rsidR="00A20382" w:rsidRPr="003859B6">
        <w:t xml:space="preserve"> to</w:t>
      </w:r>
      <w:r w:rsidR="00A20382" w:rsidRPr="003859B6" w:rsidDel="004A1E40">
        <w:t xml:space="preserve"> </w:t>
      </w:r>
      <w:r w:rsidR="004A1E40" w:rsidRPr="003859B6">
        <w:t xml:space="preserve">improving </w:t>
      </w:r>
      <w:r w:rsidR="00A20382" w:rsidRPr="003859B6">
        <w:t xml:space="preserve">the potential of </w:t>
      </w:r>
      <w:r w:rsidR="004A1E40" w:rsidRPr="003859B6">
        <w:t xml:space="preserve">Indonesian </w:t>
      </w:r>
      <w:r w:rsidR="00A20382" w:rsidRPr="003859B6">
        <w:t xml:space="preserve">fisheries and aquaculture policies to contribute sustainably to food security and nutrition. </w:t>
      </w:r>
    </w:p>
    <w:p w:rsidR="00B538F9" w:rsidRPr="003859B6" w:rsidRDefault="00B538F9" w:rsidP="006955F8">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18</w:instrText>
      </w:r>
      <w:r w:rsidRPr="003859B6">
        <w:fldChar w:fldCharType="end"/>
      </w:r>
      <w:r w:rsidRPr="003859B6">
        <w:instrText>.</w:instrText>
      </w:r>
      <w:r w:rsidRPr="003859B6">
        <w:tab/>
      </w:r>
      <w:r w:rsidRPr="003859B6">
        <w:fldChar w:fldCharType="end"/>
      </w:r>
      <w:r w:rsidR="006955F8" w:rsidRPr="003859B6">
        <w:t>OECD work on food security (OECD, 2013;</w:t>
      </w:r>
      <w:r w:rsidR="00C82D0B" w:rsidRPr="003859B6">
        <w:t xml:space="preserve"> </w:t>
      </w:r>
      <w:r w:rsidR="006955F8" w:rsidRPr="003859B6">
        <w:t xml:space="preserve">Brooks and Matthews, 2015) and sustainable fisheries management (OECD, 2015) </w:t>
      </w:r>
      <w:r w:rsidR="004A1E40" w:rsidRPr="003859B6">
        <w:t xml:space="preserve">has </w:t>
      </w:r>
      <w:r w:rsidR="006955F8" w:rsidRPr="003859B6">
        <w:t>highlight</w:t>
      </w:r>
      <w:r w:rsidR="004A1E40" w:rsidRPr="003859B6">
        <w:t>ed</w:t>
      </w:r>
      <w:r w:rsidR="006955F8" w:rsidRPr="003859B6">
        <w:t xml:space="preserve"> three important policy pathways to </w:t>
      </w:r>
      <w:r w:rsidR="004A1E40" w:rsidRPr="003859B6">
        <w:t xml:space="preserve">improve </w:t>
      </w:r>
      <w:r w:rsidR="006955F8" w:rsidRPr="003859B6">
        <w:t>food security and nutrition through better fisheries and aquaculture policies</w:t>
      </w:r>
      <w:r w:rsidR="00286834" w:rsidRPr="003859B6">
        <w:t>:</w:t>
      </w:r>
      <w:r w:rsidR="006955F8" w:rsidRPr="003859B6">
        <w:t xml:space="preserve"> </w:t>
      </w:r>
    </w:p>
    <w:p w:rsidR="004A1E40" w:rsidRPr="003859B6" w:rsidRDefault="006955F8" w:rsidP="004A1E40">
      <w:pPr>
        <w:pStyle w:val="Num-DocParagraph"/>
        <w:numPr>
          <w:ilvl w:val="0"/>
          <w:numId w:val="28"/>
        </w:numPr>
      </w:pPr>
      <w:r w:rsidRPr="003859B6">
        <w:t xml:space="preserve">First, ensuring the sustainability of resources on which the sector relies is a pre-requisite to any future contribution of the sector to food security and nutrition. </w:t>
      </w:r>
    </w:p>
    <w:p w:rsidR="004A1E40" w:rsidRPr="003859B6" w:rsidRDefault="006955F8" w:rsidP="006955F8">
      <w:pPr>
        <w:pStyle w:val="Num-DocParagraph"/>
        <w:numPr>
          <w:ilvl w:val="0"/>
          <w:numId w:val="28"/>
        </w:numPr>
      </w:pPr>
      <w:r w:rsidRPr="003859B6">
        <w:t xml:space="preserve">Second, as the principal cause of food insecurity remains poverty, rather than insufficient food availability, income growth is central to lasting reductions in hunger. Governments </w:t>
      </w:r>
      <w:r w:rsidR="00A157AF" w:rsidRPr="003859B6">
        <w:t>should aim to</w:t>
      </w:r>
      <w:r w:rsidRPr="003859B6">
        <w:t xml:space="preserve"> unlock the potential of aquaculture and fisheries to sustainably generate the </w:t>
      </w:r>
      <w:r w:rsidRPr="003859B6">
        <w:rPr>
          <w:i/>
        </w:rPr>
        <w:t xml:space="preserve">incomes </w:t>
      </w:r>
      <w:r w:rsidRPr="003859B6">
        <w:t>needed to ensure food security</w:t>
      </w:r>
      <w:r w:rsidR="00286834" w:rsidRPr="003859B6">
        <w:t>,</w:t>
      </w:r>
      <w:r w:rsidRPr="003859B6">
        <w:t xml:space="preserve"> </w:t>
      </w:r>
      <w:r w:rsidR="00A157AF" w:rsidRPr="003859B6">
        <w:t>rather than support domestic food production</w:t>
      </w:r>
      <w:r w:rsidRPr="003859B6">
        <w:t xml:space="preserve">. </w:t>
      </w:r>
    </w:p>
    <w:p w:rsidR="006955F8" w:rsidRPr="003859B6" w:rsidRDefault="006955F8" w:rsidP="006955F8">
      <w:pPr>
        <w:pStyle w:val="Num-DocParagraph"/>
        <w:numPr>
          <w:ilvl w:val="0"/>
          <w:numId w:val="28"/>
        </w:numPr>
      </w:pPr>
      <w:r w:rsidRPr="003859B6">
        <w:t xml:space="preserve">Finally, the role of trade in increasing </w:t>
      </w:r>
      <w:r w:rsidR="00486D80" w:rsidRPr="003859B6">
        <w:t xml:space="preserve">the </w:t>
      </w:r>
      <w:r w:rsidRPr="003859B6">
        <w:t>availability of seafood and lowering its price for consumers needs to be better recognised and supported</w:t>
      </w:r>
      <w:r w:rsidR="00286834" w:rsidRPr="003859B6">
        <w:t>,</w:t>
      </w:r>
      <w:r w:rsidR="00C82D0B" w:rsidRPr="003859B6">
        <w:t xml:space="preserve"> as the benefits of protection for fishers and aquaculture producers are too rarely compared with their cost for consumers and their effects on the food security of the poorest</w:t>
      </w:r>
      <w:r w:rsidRPr="003859B6">
        <w:t xml:space="preserve">. </w:t>
      </w:r>
    </w:p>
    <w:p w:rsidR="001144A2" w:rsidRPr="003859B6" w:rsidRDefault="001144A2" w:rsidP="006955F8">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19</w:instrText>
      </w:r>
      <w:r w:rsidRPr="003859B6">
        <w:fldChar w:fldCharType="end"/>
      </w:r>
      <w:r w:rsidRPr="003859B6">
        <w:instrText>.</w:instrText>
      </w:r>
      <w:r w:rsidRPr="003859B6">
        <w:tab/>
      </w:r>
      <w:r w:rsidRPr="003859B6">
        <w:fldChar w:fldCharType="end"/>
      </w:r>
      <w:r w:rsidR="006955F8" w:rsidRPr="003859B6">
        <w:t xml:space="preserve">Fisheries and aquaculture policies in Indonesia can thus contribute to improved food security and nutrition if they </w:t>
      </w:r>
      <w:r w:rsidR="00486D80" w:rsidRPr="003859B6">
        <w:t>focus</w:t>
      </w:r>
      <w:r w:rsidR="00EE2CD1" w:rsidRPr="003859B6">
        <w:t xml:space="preserve"> </w:t>
      </w:r>
      <w:r w:rsidR="006955F8" w:rsidRPr="003859B6">
        <w:t xml:space="preserve">on </w:t>
      </w:r>
      <w:r w:rsidR="00A157AF" w:rsidRPr="003859B6">
        <w:t>three</w:t>
      </w:r>
      <w:r w:rsidR="00A157AF" w:rsidRPr="003859B6">
        <w:rPr>
          <w:rStyle w:val="normaltextrun"/>
        </w:rPr>
        <w:t xml:space="preserve"> </w:t>
      </w:r>
      <w:r w:rsidR="006955F8" w:rsidRPr="003859B6">
        <w:rPr>
          <w:rStyle w:val="normaltextrun"/>
        </w:rPr>
        <w:t xml:space="preserve">key objectives: </w:t>
      </w:r>
      <w:r w:rsidR="00B24F70" w:rsidRPr="003859B6">
        <w:rPr>
          <w:rStyle w:val="normaltextrun"/>
        </w:rPr>
        <w:t xml:space="preserve">sustainable management of </w:t>
      </w:r>
      <w:r w:rsidR="006955F8" w:rsidRPr="003859B6">
        <w:rPr>
          <w:rStyle w:val="normaltextrun"/>
        </w:rPr>
        <w:t>natural resources for the future</w:t>
      </w:r>
      <w:r w:rsidR="00286834" w:rsidRPr="003859B6">
        <w:rPr>
          <w:rStyle w:val="normaltextrun"/>
        </w:rPr>
        <w:t xml:space="preserve">, </w:t>
      </w:r>
      <w:r w:rsidR="00370ADB" w:rsidRPr="003859B6">
        <w:rPr>
          <w:rStyle w:val="normaltextrun"/>
        </w:rPr>
        <w:t xml:space="preserve">increased </w:t>
      </w:r>
      <w:r w:rsidR="006955F8" w:rsidRPr="003859B6">
        <w:rPr>
          <w:rStyle w:val="normaltextrun"/>
        </w:rPr>
        <w:t xml:space="preserve">economic opportunities for </w:t>
      </w:r>
      <w:r w:rsidR="006955F8" w:rsidRPr="003859B6">
        <w:t>fishers and aqua-farmers</w:t>
      </w:r>
      <w:r w:rsidR="00286834" w:rsidRPr="003859B6">
        <w:t xml:space="preserve">, </w:t>
      </w:r>
      <w:r w:rsidR="00486D80" w:rsidRPr="003859B6">
        <w:t>and</w:t>
      </w:r>
      <w:r w:rsidR="006955F8" w:rsidRPr="003859B6">
        <w:t xml:space="preserve"> </w:t>
      </w:r>
      <w:r w:rsidR="00370ADB" w:rsidRPr="003859B6">
        <w:t xml:space="preserve">improved </w:t>
      </w:r>
      <w:r w:rsidR="006955F8" w:rsidRPr="003859B6">
        <w:t xml:space="preserve">consumer access to seafood. </w:t>
      </w:r>
      <w:r w:rsidR="002E1DAF" w:rsidRPr="003859B6">
        <w:t xml:space="preserve">This section focuses on the sustainability objective, while </w:t>
      </w:r>
      <w:r w:rsidR="00286834" w:rsidRPr="003859B6">
        <w:t>Section</w:t>
      </w:r>
      <w:r w:rsidR="002E1DAF" w:rsidRPr="003859B6" w:rsidDel="00286834">
        <w:t xml:space="preserve"> </w:t>
      </w:r>
      <w:r w:rsidR="00286834" w:rsidRPr="003859B6">
        <w:t xml:space="preserve">3 </w:t>
      </w:r>
      <w:r w:rsidR="002E1DAF" w:rsidRPr="003859B6">
        <w:t>addresses socio-economic objectives related to income generation and access to food.</w:t>
      </w:r>
    </w:p>
    <w:p w:rsidR="00B02A67" w:rsidRPr="003859B6" w:rsidRDefault="009110EE" w:rsidP="00730FF4">
      <w:pPr>
        <w:pStyle w:val="Heading3"/>
      </w:pPr>
      <w:bookmarkStart w:id="54" w:name="_Toc472954973"/>
      <w:bookmarkStart w:id="55" w:name="_Toc474487629"/>
      <w:r w:rsidRPr="003859B6">
        <w:t>E</w:t>
      </w:r>
      <w:r w:rsidR="0025599A" w:rsidRPr="003859B6">
        <w:t xml:space="preserve">nvironmental </w:t>
      </w:r>
      <w:r w:rsidR="00C04234" w:rsidRPr="003859B6">
        <w:t>impact of seafood production</w:t>
      </w:r>
      <w:bookmarkEnd w:id="54"/>
      <w:bookmarkEnd w:id="55"/>
    </w:p>
    <w:p w:rsidR="002E1DAF" w:rsidRPr="003859B6" w:rsidRDefault="002E1DAF"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20</w:instrText>
      </w:r>
      <w:r w:rsidRPr="003859B6">
        <w:fldChar w:fldCharType="end"/>
      </w:r>
      <w:r w:rsidRPr="003859B6">
        <w:instrText>.</w:instrText>
      </w:r>
      <w:r w:rsidRPr="003859B6">
        <w:tab/>
      </w:r>
      <w:r w:rsidRPr="003859B6">
        <w:fldChar w:fldCharType="end"/>
      </w:r>
      <w:r w:rsidR="00B02A67" w:rsidRPr="003859B6">
        <w:t>Seafood production in Indonesia is</w:t>
      </w:r>
      <w:r w:rsidR="009E5812" w:rsidRPr="003859B6">
        <w:t xml:space="preserve"> </w:t>
      </w:r>
      <w:r w:rsidR="00B02A67" w:rsidRPr="003859B6">
        <w:t>achieved at high cost to the country’s natural resources, creating risk that future production cannot be sustained.</w:t>
      </w:r>
      <w:r w:rsidR="009E5812" w:rsidRPr="003859B6">
        <w:t xml:space="preserve"> This is an area of concern</w:t>
      </w:r>
      <w:r w:rsidR="00EC3E27" w:rsidRPr="003859B6">
        <w:t>,</w:t>
      </w:r>
      <w:r w:rsidR="009E5812" w:rsidRPr="003859B6">
        <w:t xml:space="preserve"> as ensuring the sustainability of the natural resources on which the sector relies is a prerequisite for any future contribution of the sector to food security and nutrition. Improving the health of fish stocks and coastal and inland water ecosystems has the potential to improve food availability, lower prices for consumers and increase incomes of fishers and aqua-farmers after transitional adjustments. </w:t>
      </w:r>
    </w:p>
    <w:p w:rsidR="0043404E" w:rsidRPr="003859B6" w:rsidRDefault="0025599A" w:rsidP="0043404E">
      <w:pPr>
        <w:pStyle w:val="Heading4"/>
      </w:pPr>
      <w:r w:rsidRPr="003859B6">
        <w:t xml:space="preserve">Fully-exploited </w:t>
      </w:r>
      <w:r w:rsidR="00E53D7E" w:rsidRPr="003859B6">
        <w:t xml:space="preserve">and </w:t>
      </w:r>
      <w:r w:rsidRPr="003859B6">
        <w:t xml:space="preserve">over-exploited fish </w:t>
      </w:r>
      <w:r w:rsidR="0043404E" w:rsidRPr="003859B6">
        <w:t>stocks</w:t>
      </w:r>
    </w:p>
    <w:p w:rsidR="00B02A67" w:rsidRPr="003859B6" w:rsidRDefault="0043404E"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21</w:instrText>
      </w:r>
      <w:r w:rsidRPr="003859B6">
        <w:fldChar w:fldCharType="end"/>
      </w:r>
      <w:r w:rsidRPr="003859B6">
        <w:instrText>.</w:instrText>
      </w:r>
      <w:r w:rsidRPr="003859B6">
        <w:tab/>
      </w:r>
      <w:r w:rsidRPr="003859B6">
        <w:fldChar w:fldCharType="end"/>
      </w:r>
      <w:r w:rsidR="00B02A67" w:rsidRPr="003859B6">
        <w:t>Increased demand for seafood from a growing population</w:t>
      </w:r>
      <w:r w:rsidR="00EC3E27" w:rsidRPr="003859B6">
        <w:t>,</w:t>
      </w:r>
      <w:r w:rsidR="00B02A67" w:rsidRPr="003859B6">
        <w:t xml:space="preserve"> as well as the development of industrial fisheries, trawling</w:t>
      </w:r>
      <w:r w:rsidR="00EC3E27" w:rsidRPr="003859B6">
        <w:t xml:space="preserve"> in particular – </w:t>
      </w:r>
      <w:r w:rsidR="00B02A67" w:rsidRPr="003859B6">
        <w:t>which started in the early 1960s and grew rapidly</w:t>
      </w:r>
      <w:r w:rsidR="00EC3E27" w:rsidRPr="003859B6">
        <w:t xml:space="preserve"> –</w:t>
      </w:r>
      <w:r w:rsidR="00B02A67" w:rsidRPr="003859B6">
        <w:t xml:space="preserve"> are responsible for a strong increase in pressure on Indonesian marine fishery resources in recent decades (</w:t>
      </w:r>
      <w:proofErr w:type="spellStart"/>
      <w:r w:rsidR="00B02A67" w:rsidRPr="003859B6">
        <w:t>Pauly</w:t>
      </w:r>
      <w:proofErr w:type="spellEnd"/>
      <w:r w:rsidR="00B02A67" w:rsidRPr="003859B6">
        <w:t xml:space="preserve"> and </w:t>
      </w:r>
      <w:proofErr w:type="spellStart"/>
      <w:r w:rsidR="00B02A67" w:rsidRPr="003859B6">
        <w:t>Budimartono</w:t>
      </w:r>
      <w:proofErr w:type="spellEnd"/>
      <w:r w:rsidR="00B02A67" w:rsidRPr="003859B6">
        <w:t xml:space="preserve">, 2015). According to the </w:t>
      </w:r>
      <w:r w:rsidR="007048A0" w:rsidRPr="003859B6">
        <w:t xml:space="preserve">findings of the </w:t>
      </w:r>
      <w:r w:rsidR="00B02A67" w:rsidRPr="003859B6">
        <w:t xml:space="preserve">Indonesia National Committee on Assessment of Fisheries Resources, the </w:t>
      </w:r>
      <w:r w:rsidR="009144B1" w:rsidRPr="003859B6">
        <w:t>vast</w:t>
      </w:r>
      <w:r w:rsidR="00B02A67" w:rsidRPr="003859B6">
        <w:t xml:space="preserve"> majority of Indonesian fisheries are defined as fully</w:t>
      </w:r>
      <w:r w:rsidR="00EC3E27" w:rsidRPr="003859B6">
        <w:t>-</w:t>
      </w:r>
      <w:r w:rsidR="00B02A67" w:rsidRPr="003859B6">
        <w:t>exploited or over</w:t>
      </w:r>
      <w:r w:rsidR="00EC3E27" w:rsidRPr="003859B6">
        <w:t>-</w:t>
      </w:r>
      <w:r w:rsidR="00B02A67" w:rsidRPr="003859B6">
        <w:t>exploited</w:t>
      </w:r>
      <w:r w:rsidR="00A57766" w:rsidRPr="003859B6">
        <w:t xml:space="preserve"> (Table 1)</w:t>
      </w:r>
      <w:r w:rsidR="00F80C17" w:rsidRPr="003859B6">
        <w:t xml:space="preserve"> (MMAF, 2016)</w:t>
      </w:r>
      <w:r w:rsidR="00B02A67" w:rsidRPr="003859B6">
        <w:t>. The highest rate of over</w:t>
      </w:r>
      <w:r w:rsidR="00EC3E27" w:rsidRPr="003859B6">
        <w:t>-</w:t>
      </w:r>
      <w:r w:rsidR="00B02A67" w:rsidRPr="003859B6">
        <w:t xml:space="preserve">exploitation is found for shrimp species, Indonesia’s most valuable catch. </w:t>
      </w:r>
      <w:r w:rsidR="009144B1" w:rsidRPr="003859B6">
        <w:t>S</w:t>
      </w:r>
      <w:r w:rsidR="00B02A67" w:rsidRPr="003859B6">
        <w:t xml:space="preserve">igns of declining catch per unit of effort (CPUE) have been reported for tunas, small </w:t>
      </w:r>
      <w:proofErr w:type="spellStart"/>
      <w:r w:rsidR="00B02A67" w:rsidRPr="003859B6">
        <w:t>pelagics</w:t>
      </w:r>
      <w:proofErr w:type="spellEnd"/>
      <w:r w:rsidR="00B02A67" w:rsidRPr="003859B6">
        <w:t>, shrimp and coastal reef fish (DAFF, 2011)</w:t>
      </w:r>
      <w:r w:rsidR="00B402FB" w:rsidRPr="003859B6">
        <w:t xml:space="preserve">, which </w:t>
      </w:r>
      <w:r w:rsidR="00EC3E27" w:rsidRPr="003859B6">
        <w:t xml:space="preserve">indicates </w:t>
      </w:r>
      <w:r w:rsidR="00B402FB" w:rsidRPr="003859B6">
        <w:t>that the resource base is already affected</w:t>
      </w:r>
      <w:r w:rsidR="00B02A67" w:rsidRPr="003859B6">
        <w:t xml:space="preserve">. Exploitation rates vary across the waters of Indonesia, and some opportunity for expansion of catches in the eastern part of the country may exist, notably for small </w:t>
      </w:r>
      <w:proofErr w:type="spellStart"/>
      <w:r w:rsidR="00B02A67" w:rsidRPr="003859B6">
        <w:t>pelagics</w:t>
      </w:r>
      <w:proofErr w:type="spellEnd"/>
      <w:r w:rsidR="00B02A67" w:rsidRPr="003859B6">
        <w:t>. Of all large tuna species, only skipjack remains somewhat underexploited (DAFF</w:t>
      </w:r>
      <w:r w:rsidR="009B1CD3" w:rsidRPr="003859B6">
        <w:t>,</w:t>
      </w:r>
      <w:r w:rsidR="00B02A67" w:rsidRPr="003859B6">
        <w:t xml:space="preserve"> 2011). According to calculations, only 15% of Indonesian landings come from under</w:t>
      </w:r>
      <w:r w:rsidR="00EC3E27" w:rsidRPr="003859B6">
        <w:t>-</w:t>
      </w:r>
      <w:r w:rsidR="00B02A67" w:rsidRPr="003859B6">
        <w:t>exploited stocks. Another 32 % of landings come from unassessed stocks</w:t>
      </w:r>
      <w:r w:rsidR="00EC3E27" w:rsidRPr="003859B6">
        <w:t>,</w:t>
      </w:r>
      <w:r w:rsidR="00B02A67" w:rsidRPr="003859B6">
        <w:t xml:space="preserve"> while 40% come from fully-exploited stocks and 11% from stocks in poor condition (CEA, 2014). </w:t>
      </w:r>
    </w:p>
    <w:p w:rsidR="00A57766" w:rsidRPr="003859B6" w:rsidRDefault="00A57766" w:rsidP="00262B63">
      <w:pPr>
        <w:pStyle w:val="TableTitle"/>
        <w:pageBreakBefore/>
      </w:pPr>
    </w:p>
    <w:p w:rsidR="00CE49F0" w:rsidRPr="003859B6" w:rsidRDefault="00CE49F0" w:rsidP="00CE49F0">
      <w:pPr>
        <w:pStyle w:val="TableTitle"/>
      </w:pPr>
      <w:proofErr w:type="gramStart"/>
      <w:r w:rsidRPr="003859B6">
        <w:t>Table 1.</w:t>
      </w:r>
      <w:proofErr w:type="gramEnd"/>
      <w:r w:rsidRPr="003859B6">
        <w:t xml:space="preserve"> Status of fisheries resources by major species category and Fishery Management Area (WPP), 2016</w:t>
      </w:r>
      <w:r w:rsidRPr="003859B6">
        <w:fldChar w:fldCharType="begin"/>
      </w:r>
      <w:r w:rsidRPr="003859B6">
        <w:instrText xml:space="preserve"> TC \f t \l 2 "</w:instrText>
      </w:r>
      <w:r w:rsidR="008E4039" w:rsidRPr="003859B6">
        <w:instrText xml:space="preserve"> </w:instrText>
      </w:r>
      <w:bookmarkStart w:id="56" w:name="_Toc473275089"/>
      <w:r w:rsidR="008E4039" w:rsidRPr="003859B6">
        <w:instrText>Table 1. Status of fisheries resources by major species category and Fishery Management Area (WPP), 2016</w:instrText>
      </w:r>
      <w:bookmarkEnd w:id="56"/>
      <w:r w:rsidRPr="003859B6">
        <w:instrText xml:space="preserve">" \* MERGEFORMAT </w:instrText>
      </w:r>
      <w:r w:rsidRPr="003859B6">
        <w:fldChar w:fldCharType="end"/>
      </w:r>
    </w:p>
    <w:tbl>
      <w:tblPr>
        <w:tblW w:w="0" w:type="auto"/>
        <w:jc w:val="center"/>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2"/>
        <w:gridCol w:w="1413"/>
        <w:gridCol w:w="1413"/>
        <w:gridCol w:w="1413"/>
        <w:gridCol w:w="1413"/>
        <w:gridCol w:w="1429"/>
      </w:tblGrid>
      <w:tr w:rsidR="00A57766" w:rsidRPr="003859B6" w:rsidTr="002B4A49">
        <w:trPr>
          <w:jc w:val="center"/>
        </w:trPr>
        <w:tc>
          <w:tcPr>
            <w:tcW w:w="522" w:type="dxa"/>
            <w:tcBorders>
              <w:top w:val="single" w:sz="4" w:space="0" w:color="auto"/>
              <w:left w:val="single" w:sz="4" w:space="0" w:color="auto"/>
              <w:right w:val="single" w:sz="4" w:space="0" w:color="808080" w:themeColor="background1" w:themeShade="80"/>
            </w:tcBorders>
            <w:shd w:val="clear" w:color="auto" w:fill="auto"/>
            <w:vAlign w:val="center"/>
          </w:tcPr>
          <w:p w:rsidR="00A57766" w:rsidRPr="003859B6" w:rsidRDefault="00A57766" w:rsidP="00100D5B">
            <w:pPr>
              <w:pStyle w:val="Cell"/>
              <w:jc w:val="center"/>
            </w:pPr>
            <w:r w:rsidRPr="003859B6">
              <w:t>WPP</w:t>
            </w:r>
          </w:p>
        </w:tc>
        <w:tc>
          <w:tcPr>
            <w:tcW w:w="141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57766" w:rsidRPr="003859B6" w:rsidRDefault="00A57766" w:rsidP="00100D5B">
            <w:pPr>
              <w:pStyle w:val="Cell"/>
              <w:jc w:val="center"/>
            </w:pPr>
            <w:r w:rsidRPr="003859B6">
              <w:t>Shrimp</w:t>
            </w:r>
          </w:p>
        </w:tc>
        <w:tc>
          <w:tcPr>
            <w:tcW w:w="141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57766" w:rsidRPr="003859B6" w:rsidRDefault="00A57766" w:rsidP="00100D5B">
            <w:pPr>
              <w:pStyle w:val="Cell"/>
              <w:jc w:val="center"/>
            </w:pPr>
            <w:r w:rsidRPr="003859B6">
              <w:t>Demersal</w:t>
            </w:r>
          </w:p>
        </w:tc>
        <w:tc>
          <w:tcPr>
            <w:tcW w:w="141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57766" w:rsidRPr="003859B6" w:rsidRDefault="00A57766" w:rsidP="00100D5B">
            <w:pPr>
              <w:pStyle w:val="Cell"/>
              <w:jc w:val="center"/>
            </w:pPr>
            <w:r w:rsidRPr="003859B6">
              <w:t>Small pelagic</w:t>
            </w:r>
          </w:p>
        </w:tc>
        <w:tc>
          <w:tcPr>
            <w:tcW w:w="141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57766" w:rsidRPr="003859B6" w:rsidRDefault="00A57766" w:rsidP="00100D5B">
            <w:pPr>
              <w:pStyle w:val="Cell"/>
              <w:jc w:val="center"/>
            </w:pPr>
            <w:r w:rsidRPr="003859B6">
              <w:t>Large tuna species</w:t>
            </w:r>
          </w:p>
        </w:tc>
        <w:tc>
          <w:tcPr>
            <w:tcW w:w="1429" w:type="dxa"/>
            <w:tcBorders>
              <w:top w:val="single" w:sz="4" w:space="0" w:color="auto"/>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rsidR="00A57766" w:rsidRPr="003859B6" w:rsidRDefault="00A57766" w:rsidP="00100D5B">
            <w:pPr>
              <w:pStyle w:val="Cell"/>
              <w:jc w:val="center"/>
            </w:pPr>
            <w:r w:rsidRPr="003859B6">
              <w:t>Squid</w:t>
            </w:r>
          </w:p>
        </w:tc>
      </w:tr>
      <w:tr w:rsidR="00A57766" w:rsidRPr="003859B6" w:rsidTr="002B4A49">
        <w:trPr>
          <w:jc w:val="center"/>
        </w:trPr>
        <w:tc>
          <w:tcPr>
            <w:tcW w:w="7603" w:type="dxa"/>
            <w:gridSpan w:val="6"/>
            <w:tcBorders>
              <w:top w:val="nil"/>
              <w:left w:val="single" w:sz="4" w:space="0" w:color="auto"/>
              <w:bottom w:val="single" w:sz="4" w:space="0" w:color="808080" w:themeColor="background1" w:themeShade="80"/>
              <w:right w:val="single" w:sz="4" w:space="0" w:color="auto"/>
            </w:tcBorders>
            <w:shd w:val="clear" w:color="auto" w:fill="auto"/>
          </w:tcPr>
          <w:p w:rsidR="00A57766" w:rsidRPr="003859B6" w:rsidRDefault="00A57766" w:rsidP="00100D5B">
            <w:pPr>
              <w:pStyle w:val="Cell"/>
              <w:jc w:val="center"/>
              <w:rPr>
                <w:i/>
              </w:rPr>
            </w:pPr>
            <w:r w:rsidRPr="003859B6">
              <w:rPr>
                <w:i/>
              </w:rPr>
              <w:t>Indian Ocean</w:t>
            </w:r>
          </w:p>
        </w:tc>
      </w:tr>
      <w:tr w:rsidR="00B402FB" w:rsidRPr="003859B6" w:rsidTr="007C2C0E">
        <w:trPr>
          <w:jc w:val="center"/>
        </w:trPr>
        <w:tc>
          <w:tcPr>
            <w:tcW w:w="522" w:type="dxa"/>
            <w:tcBorders>
              <w:top w:val="single" w:sz="4" w:space="0" w:color="808080" w:themeColor="background1" w:themeShade="80"/>
              <w:left w:val="single" w:sz="4" w:space="0" w:color="auto"/>
              <w:bottom w:val="single" w:sz="4" w:space="0" w:color="auto"/>
              <w:right w:val="nil"/>
            </w:tcBorders>
            <w:shd w:val="clear" w:color="auto" w:fill="auto"/>
          </w:tcPr>
          <w:p w:rsidR="00E07F17" w:rsidRPr="003859B6" w:rsidRDefault="00E07F17" w:rsidP="00100D5B">
            <w:pPr>
              <w:pStyle w:val="Cell"/>
            </w:pPr>
            <w:r w:rsidRPr="003859B6">
              <w:t>571</w:t>
            </w:r>
          </w:p>
        </w:tc>
        <w:tc>
          <w:tcPr>
            <w:tcW w:w="1413" w:type="dxa"/>
            <w:tcBorders>
              <w:top w:val="single" w:sz="4" w:space="0" w:color="808080" w:themeColor="background1" w:themeShade="80"/>
              <w:left w:val="nil"/>
              <w:bottom w:val="single" w:sz="4" w:space="0" w:color="auto"/>
              <w:right w:val="nil"/>
            </w:tcBorders>
            <w:shd w:val="clear" w:color="auto" w:fill="FFFFFF" w:themeFill="background1"/>
          </w:tcPr>
          <w:p w:rsidR="00E07F17" w:rsidRPr="003859B6" w:rsidRDefault="00E07F17" w:rsidP="00E07F17">
            <w:pPr>
              <w:pStyle w:val="Cell"/>
              <w:jc w:val="center"/>
            </w:pPr>
            <w:r w:rsidRPr="003859B6">
              <w:t>O</w:t>
            </w:r>
          </w:p>
        </w:tc>
        <w:tc>
          <w:tcPr>
            <w:tcW w:w="1413" w:type="dxa"/>
            <w:tcBorders>
              <w:top w:val="single" w:sz="4" w:space="0" w:color="808080" w:themeColor="background1" w:themeShade="80"/>
              <w:left w:val="nil"/>
              <w:bottom w:val="single" w:sz="4" w:space="0" w:color="auto"/>
              <w:right w:val="nil"/>
            </w:tcBorders>
            <w:shd w:val="clear" w:color="auto" w:fill="FFFFFF" w:themeFill="background1"/>
          </w:tcPr>
          <w:p w:rsidR="00E07F17" w:rsidRPr="003859B6" w:rsidRDefault="00E07F17" w:rsidP="00E07F17">
            <w:pPr>
              <w:pStyle w:val="Cell"/>
              <w:jc w:val="center"/>
            </w:pPr>
            <w:r w:rsidRPr="003859B6">
              <w:t>O</w:t>
            </w:r>
          </w:p>
        </w:tc>
        <w:tc>
          <w:tcPr>
            <w:tcW w:w="1413" w:type="dxa"/>
            <w:tcBorders>
              <w:top w:val="single" w:sz="4" w:space="0" w:color="808080" w:themeColor="background1" w:themeShade="80"/>
              <w:left w:val="nil"/>
              <w:bottom w:val="single" w:sz="4" w:space="0" w:color="auto"/>
              <w:right w:val="nil"/>
            </w:tcBorders>
            <w:shd w:val="clear" w:color="auto" w:fill="FFFFFF" w:themeFill="background1"/>
          </w:tcPr>
          <w:p w:rsidR="00E07F17" w:rsidRPr="003859B6" w:rsidRDefault="00E07F17" w:rsidP="00E07F17">
            <w:pPr>
              <w:pStyle w:val="Cell"/>
              <w:jc w:val="center"/>
            </w:pPr>
            <w:r w:rsidRPr="003859B6">
              <w:t>O</w:t>
            </w:r>
          </w:p>
        </w:tc>
        <w:tc>
          <w:tcPr>
            <w:tcW w:w="1413" w:type="dxa"/>
            <w:tcBorders>
              <w:top w:val="single" w:sz="4" w:space="0" w:color="808080" w:themeColor="background1" w:themeShade="80"/>
              <w:left w:val="nil"/>
              <w:bottom w:val="single" w:sz="4" w:space="0" w:color="auto"/>
              <w:right w:val="nil"/>
            </w:tcBorders>
            <w:shd w:val="clear" w:color="auto" w:fill="FFFFFF" w:themeFill="background1"/>
          </w:tcPr>
          <w:p w:rsidR="00E07F17" w:rsidRPr="003859B6" w:rsidRDefault="00E07F17" w:rsidP="00E07F17">
            <w:pPr>
              <w:pStyle w:val="Cell"/>
              <w:jc w:val="center"/>
            </w:pPr>
            <w:r w:rsidRPr="003859B6">
              <w:t>F</w:t>
            </w:r>
          </w:p>
        </w:tc>
        <w:tc>
          <w:tcPr>
            <w:tcW w:w="1429" w:type="dxa"/>
            <w:tcBorders>
              <w:top w:val="single" w:sz="4" w:space="0" w:color="808080" w:themeColor="background1" w:themeShade="80"/>
              <w:left w:val="nil"/>
              <w:bottom w:val="single" w:sz="4" w:space="0" w:color="auto"/>
              <w:right w:val="single" w:sz="4" w:space="0" w:color="auto"/>
            </w:tcBorders>
            <w:shd w:val="clear" w:color="auto" w:fill="FFFFFF" w:themeFill="background1"/>
          </w:tcPr>
          <w:p w:rsidR="00E07F17" w:rsidRPr="003859B6" w:rsidRDefault="00E07F17" w:rsidP="00E07F17">
            <w:pPr>
              <w:pStyle w:val="Cell"/>
              <w:jc w:val="center"/>
            </w:pPr>
            <w:r w:rsidRPr="003859B6">
              <w:t>F</w:t>
            </w:r>
          </w:p>
        </w:tc>
      </w:tr>
      <w:tr w:rsidR="00B402FB" w:rsidRPr="003859B6" w:rsidTr="007C2C0E">
        <w:trPr>
          <w:jc w:val="center"/>
        </w:trPr>
        <w:tc>
          <w:tcPr>
            <w:tcW w:w="522" w:type="dxa"/>
            <w:tcBorders>
              <w:top w:val="single" w:sz="4" w:space="0" w:color="auto"/>
              <w:left w:val="single" w:sz="4" w:space="0" w:color="auto"/>
              <w:bottom w:val="nil"/>
              <w:right w:val="nil"/>
            </w:tcBorders>
            <w:shd w:val="clear" w:color="auto" w:fill="auto"/>
          </w:tcPr>
          <w:p w:rsidR="00E07F17" w:rsidRPr="003859B6" w:rsidRDefault="00E07F17" w:rsidP="00100D5B">
            <w:pPr>
              <w:pStyle w:val="Cell"/>
            </w:pPr>
            <w:r w:rsidRPr="003859B6">
              <w:t>572</w:t>
            </w:r>
          </w:p>
        </w:tc>
        <w:tc>
          <w:tcPr>
            <w:tcW w:w="1413" w:type="dxa"/>
            <w:tcBorders>
              <w:top w:val="single" w:sz="4" w:space="0" w:color="auto"/>
              <w:left w:val="nil"/>
              <w:bottom w:val="nil"/>
              <w:right w:val="nil"/>
            </w:tcBorders>
            <w:shd w:val="clear" w:color="auto" w:fill="FFFFFF" w:themeFill="background1"/>
          </w:tcPr>
          <w:p w:rsidR="00E07F17" w:rsidRPr="003859B6" w:rsidRDefault="00E07F17" w:rsidP="00E07F17">
            <w:pPr>
              <w:pStyle w:val="Cell"/>
              <w:jc w:val="center"/>
            </w:pPr>
            <w:r w:rsidRPr="003859B6">
              <w:t>O</w:t>
            </w:r>
          </w:p>
        </w:tc>
        <w:tc>
          <w:tcPr>
            <w:tcW w:w="1413" w:type="dxa"/>
            <w:tcBorders>
              <w:top w:val="single" w:sz="4" w:space="0" w:color="auto"/>
              <w:left w:val="nil"/>
              <w:bottom w:val="nil"/>
              <w:right w:val="nil"/>
            </w:tcBorders>
            <w:shd w:val="clear" w:color="auto" w:fill="FFFFFF" w:themeFill="background1"/>
          </w:tcPr>
          <w:p w:rsidR="00E07F17" w:rsidRPr="003859B6" w:rsidRDefault="00E07F17" w:rsidP="00E07F17">
            <w:pPr>
              <w:pStyle w:val="Cell"/>
              <w:jc w:val="center"/>
            </w:pPr>
            <w:r w:rsidRPr="003859B6">
              <w:t>F</w:t>
            </w:r>
          </w:p>
        </w:tc>
        <w:tc>
          <w:tcPr>
            <w:tcW w:w="1413" w:type="dxa"/>
            <w:tcBorders>
              <w:top w:val="single" w:sz="4" w:space="0" w:color="auto"/>
              <w:left w:val="nil"/>
              <w:bottom w:val="nil"/>
              <w:right w:val="nil"/>
            </w:tcBorders>
            <w:shd w:val="clear" w:color="auto" w:fill="FFFFFF" w:themeFill="background1"/>
          </w:tcPr>
          <w:p w:rsidR="00E07F17" w:rsidRPr="003859B6" w:rsidRDefault="00E07F17" w:rsidP="00E07F17">
            <w:pPr>
              <w:pStyle w:val="Cell"/>
              <w:jc w:val="center"/>
            </w:pPr>
            <w:r w:rsidRPr="003859B6">
              <w:t>F</w:t>
            </w:r>
          </w:p>
        </w:tc>
        <w:tc>
          <w:tcPr>
            <w:tcW w:w="1413" w:type="dxa"/>
            <w:tcBorders>
              <w:top w:val="single" w:sz="4" w:space="0" w:color="auto"/>
              <w:left w:val="nil"/>
              <w:bottom w:val="nil"/>
              <w:right w:val="nil"/>
            </w:tcBorders>
            <w:shd w:val="clear" w:color="auto" w:fill="FFFFFF" w:themeFill="background1"/>
          </w:tcPr>
          <w:p w:rsidR="00E07F17" w:rsidRPr="003859B6" w:rsidRDefault="00E07F17" w:rsidP="00E07F17">
            <w:pPr>
              <w:pStyle w:val="Cell"/>
              <w:jc w:val="center"/>
            </w:pPr>
            <w:r w:rsidRPr="003859B6">
              <w:t>O</w:t>
            </w:r>
          </w:p>
        </w:tc>
        <w:tc>
          <w:tcPr>
            <w:tcW w:w="1429" w:type="dxa"/>
            <w:tcBorders>
              <w:top w:val="single" w:sz="4" w:space="0" w:color="auto"/>
              <w:left w:val="nil"/>
              <w:bottom w:val="nil"/>
              <w:right w:val="single" w:sz="4" w:space="0" w:color="auto"/>
            </w:tcBorders>
            <w:shd w:val="clear" w:color="auto" w:fill="FFFFFF" w:themeFill="background1"/>
          </w:tcPr>
          <w:p w:rsidR="00E07F17" w:rsidRPr="003859B6" w:rsidRDefault="00E07F17" w:rsidP="00E07F17">
            <w:pPr>
              <w:pStyle w:val="Cell"/>
              <w:jc w:val="center"/>
            </w:pPr>
            <w:r w:rsidRPr="003859B6">
              <w:t>U</w:t>
            </w:r>
          </w:p>
        </w:tc>
      </w:tr>
      <w:tr w:rsidR="00B402FB" w:rsidRPr="003859B6" w:rsidTr="007C2C0E">
        <w:trPr>
          <w:jc w:val="center"/>
        </w:trPr>
        <w:tc>
          <w:tcPr>
            <w:tcW w:w="522" w:type="dxa"/>
            <w:tcBorders>
              <w:top w:val="nil"/>
              <w:left w:val="single" w:sz="4" w:space="0" w:color="auto"/>
              <w:bottom w:val="single" w:sz="4" w:space="0" w:color="auto"/>
              <w:right w:val="nil"/>
            </w:tcBorders>
            <w:shd w:val="clear" w:color="auto" w:fill="auto"/>
          </w:tcPr>
          <w:p w:rsidR="00E07F17" w:rsidRPr="003859B6" w:rsidRDefault="00E07F17" w:rsidP="00100D5B">
            <w:pPr>
              <w:pStyle w:val="Cell"/>
            </w:pPr>
            <w:r w:rsidRPr="003859B6">
              <w:t>573</w:t>
            </w:r>
          </w:p>
        </w:tc>
        <w:tc>
          <w:tcPr>
            <w:tcW w:w="1413" w:type="dxa"/>
            <w:tcBorders>
              <w:top w:val="nil"/>
              <w:left w:val="nil"/>
              <w:bottom w:val="single" w:sz="4" w:space="0" w:color="auto"/>
              <w:right w:val="nil"/>
            </w:tcBorders>
            <w:shd w:val="clear" w:color="auto" w:fill="FFFFFF" w:themeFill="background1"/>
          </w:tcPr>
          <w:p w:rsidR="00E07F17" w:rsidRPr="003859B6" w:rsidRDefault="00E07F17" w:rsidP="00E07F17">
            <w:pPr>
              <w:pStyle w:val="Cell"/>
              <w:jc w:val="center"/>
            </w:pPr>
            <w:r w:rsidRPr="003859B6">
              <w:t>O</w:t>
            </w:r>
          </w:p>
        </w:tc>
        <w:tc>
          <w:tcPr>
            <w:tcW w:w="1413" w:type="dxa"/>
            <w:tcBorders>
              <w:top w:val="nil"/>
              <w:left w:val="nil"/>
              <w:bottom w:val="single" w:sz="4" w:space="0" w:color="auto"/>
              <w:right w:val="nil"/>
            </w:tcBorders>
            <w:shd w:val="clear" w:color="auto" w:fill="FFFFFF" w:themeFill="background1"/>
          </w:tcPr>
          <w:p w:rsidR="00E07F17" w:rsidRPr="003859B6" w:rsidRDefault="00E07F17" w:rsidP="00E07F17">
            <w:pPr>
              <w:pStyle w:val="Cell"/>
              <w:jc w:val="center"/>
            </w:pPr>
            <w:r w:rsidRPr="003859B6">
              <w:t>F</w:t>
            </w:r>
          </w:p>
        </w:tc>
        <w:tc>
          <w:tcPr>
            <w:tcW w:w="1413" w:type="dxa"/>
            <w:tcBorders>
              <w:top w:val="nil"/>
              <w:left w:val="nil"/>
              <w:bottom w:val="single" w:sz="4" w:space="0" w:color="auto"/>
              <w:right w:val="nil"/>
            </w:tcBorders>
            <w:shd w:val="clear" w:color="auto" w:fill="FFFFFF" w:themeFill="background1"/>
          </w:tcPr>
          <w:p w:rsidR="00E07F17" w:rsidRPr="003859B6" w:rsidRDefault="00E07F17" w:rsidP="00E07F17">
            <w:pPr>
              <w:pStyle w:val="Cell"/>
              <w:jc w:val="center"/>
            </w:pPr>
            <w:r w:rsidRPr="003859B6">
              <w:t>F</w:t>
            </w:r>
          </w:p>
        </w:tc>
        <w:tc>
          <w:tcPr>
            <w:tcW w:w="1413" w:type="dxa"/>
            <w:tcBorders>
              <w:top w:val="nil"/>
              <w:left w:val="nil"/>
              <w:bottom w:val="single" w:sz="4" w:space="0" w:color="auto"/>
              <w:right w:val="nil"/>
            </w:tcBorders>
            <w:shd w:val="clear" w:color="auto" w:fill="FFFFFF" w:themeFill="background1"/>
          </w:tcPr>
          <w:p w:rsidR="00E07F17" w:rsidRPr="003859B6" w:rsidRDefault="00E07F17" w:rsidP="00E07F17">
            <w:pPr>
              <w:pStyle w:val="Cell"/>
              <w:jc w:val="center"/>
            </w:pPr>
            <w:r w:rsidRPr="003859B6">
              <w:t>F</w:t>
            </w:r>
          </w:p>
        </w:tc>
        <w:tc>
          <w:tcPr>
            <w:tcW w:w="1429" w:type="dxa"/>
            <w:tcBorders>
              <w:top w:val="nil"/>
              <w:left w:val="nil"/>
              <w:bottom w:val="single" w:sz="4" w:space="0" w:color="auto"/>
              <w:right w:val="single" w:sz="4" w:space="0" w:color="auto"/>
            </w:tcBorders>
            <w:shd w:val="clear" w:color="auto" w:fill="FFFFFF" w:themeFill="background1"/>
          </w:tcPr>
          <w:p w:rsidR="00E07F17" w:rsidRPr="003859B6" w:rsidRDefault="00E07F17" w:rsidP="00E07F17">
            <w:pPr>
              <w:pStyle w:val="Cell"/>
              <w:jc w:val="center"/>
            </w:pPr>
            <w:r w:rsidRPr="003859B6">
              <w:t>O</w:t>
            </w:r>
          </w:p>
        </w:tc>
      </w:tr>
      <w:tr w:rsidR="00A57766" w:rsidRPr="003859B6" w:rsidTr="007C2C0E">
        <w:trPr>
          <w:jc w:val="center"/>
        </w:trPr>
        <w:tc>
          <w:tcPr>
            <w:tcW w:w="7603" w:type="dxa"/>
            <w:gridSpan w:val="6"/>
            <w:tcBorders>
              <w:top w:val="single" w:sz="4" w:space="0" w:color="auto"/>
              <w:left w:val="single" w:sz="4" w:space="0" w:color="808080" w:themeColor="background1" w:themeShade="80"/>
              <w:bottom w:val="nil"/>
              <w:right w:val="single" w:sz="4" w:space="0" w:color="808080" w:themeColor="background1" w:themeShade="80"/>
            </w:tcBorders>
            <w:shd w:val="clear" w:color="auto" w:fill="FFFFFF" w:themeFill="background1"/>
          </w:tcPr>
          <w:p w:rsidR="00A57766" w:rsidRPr="003859B6" w:rsidRDefault="00A57766" w:rsidP="00100D5B">
            <w:pPr>
              <w:pStyle w:val="Cell"/>
              <w:jc w:val="center"/>
              <w:rPr>
                <w:i/>
              </w:rPr>
            </w:pPr>
            <w:r w:rsidRPr="003859B6">
              <w:rPr>
                <w:i/>
              </w:rPr>
              <w:t>Pacific Ocean</w:t>
            </w:r>
          </w:p>
        </w:tc>
      </w:tr>
      <w:tr w:rsidR="00B402FB" w:rsidRPr="003859B6" w:rsidTr="007C2C0E">
        <w:trPr>
          <w:jc w:val="center"/>
        </w:trPr>
        <w:tc>
          <w:tcPr>
            <w:tcW w:w="522" w:type="dxa"/>
            <w:tcBorders>
              <w:top w:val="nil"/>
              <w:left w:val="single" w:sz="4" w:space="0" w:color="808080" w:themeColor="background1" w:themeShade="80"/>
              <w:bottom w:val="nil"/>
              <w:right w:val="nil"/>
            </w:tcBorders>
            <w:shd w:val="clear" w:color="auto" w:fill="auto"/>
          </w:tcPr>
          <w:p w:rsidR="00750CD5" w:rsidRPr="003859B6" w:rsidRDefault="00750CD5" w:rsidP="00100D5B">
            <w:pPr>
              <w:pStyle w:val="Cell"/>
            </w:pPr>
            <w:r w:rsidRPr="003859B6">
              <w:t>711</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O</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O</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U</w:t>
            </w:r>
          </w:p>
        </w:tc>
        <w:tc>
          <w:tcPr>
            <w:tcW w:w="1429" w:type="dxa"/>
            <w:tcBorders>
              <w:top w:val="nil"/>
              <w:left w:val="nil"/>
              <w:bottom w:val="nil"/>
              <w:right w:val="single" w:sz="4" w:space="0" w:color="808080" w:themeColor="background1" w:themeShade="80"/>
            </w:tcBorders>
            <w:shd w:val="clear" w:color="auto" w:fill="FFFFFF" w:themeFill="background1"/>
          </w:tcPr>
          <w:p w:rsidR="00750CD5" w:rsidRPr="003859B6" w:rsidRDefault="00750CD5" w:rsidP="00750CD5">
            <w:pPr>
              <w:pStyle w:val="Cell"/>
              <w:jc w:val="center"/>
            </w:pPr>
            <w:r w:rsidRPr="003859B6">
              <w:t>O</w:t>
            </w:r>
          </w:p>
        </w:tc>
      </w:tr>
      <w:tr w:rsidR="00B402FB" w:rsidRPr="003859B6" w:rsidTr="007C2C0E">
        <w:trPr>
          <w:jc w:val="center"/>
        </w:trPr>
        <w:tc>
          <w:tcPr>
            <w:tcW w:w="522" w:type="dxa"/>
            <w:tcBorders>
              <w:top w:val="nil"/>
              <w:left w:val="single" w:sz="4" w:space="0" w:color="808080" w:themeColor="background1" w:themeShade="80"/>
              <w:bottom w:val="nil"/>
              <w:right w:val="nil"/>
            </w:tcBorders>
            <w:shd w:val="clear" w:color="auto" w:fill="auto"/>
          </w:tcPr>
          <w:p w:rsidR="00750CD5" w:rsidRPr="003859B6" w:rsidRDefault="00750CD5" w:rsidP="00100D5B">
            <w:pPr>
              <w:pStyle w:val="Cell"/>
            </w:pPr>
            <w:r w:rsidRPr="003859B6">
              <w:t>712</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O</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O</w:t>
            </w:r>
          </w:p>
        </w:tc>
        <w:tc>
          <w:tcPr>
            <w:tcW w:w="1429" w:type="dxa"/>
            <w:tcBorders>
              <w:top w:val="nil"/>
              <w:left w:val="nil"/>
              <w:bottom w:val="nil"/>
              <w:right w:val="single" w:sz="4" w:space="0" w:color="808080" w:themeColor="background1" w:themeShade="80"/>
            </w:tcBorders>
            <w:shd w:val="clear" w:color="auto" w:fill="FFFFFF" w:themeFill="background1"/>
          </w:tcPr>
          <w:p w:rsidR="00750CD5" w:rsidRPr="003859B6" w:rsidRDefault="00750CD5" w:rsidP="00750CD5">
            <w:pPr>
              <w:pStyle w:val="Cell"/>
              <w:jc w:val="center"/>
            </w:pPr>
            <w:r w:rsidRPr="003859B6">
              <w:t>O</w:t>
            </w:r>
          </w:p>
        </w:tc>
      </w:tr>
      <w:tr w:rsidR="00B402FB" w:rsidRPr="003859B6" w:rsidTr="007C2C0E">
        <w:trPr>
          <w:jc w:val="center"/>
        </w:trPr>
        <w:tc>
          <w:tcPr>
            <w:tcW w:w="522" w:type="dxa"/>
            <w:tcBorders>
              <w:top w:val="nil"/>
              <w:left w:val="single" w:sz="4" w:space="0" w:color="808080" w:themeColor="background1" w:themeShade="80"/>
              <w:bottom w:val="nil"/>
              <w:right w:val="nil"/>
            </w:tcBorders>
            <w:shd w:val="clear" w:color="auto" w:fill="auto"/>
          </w:tcPr>
          <w:p w:rsidR="00750CD5" w:rsidRPr="003859B6" w:rsidRDefault="00750CD5" w:rsidP="00100D5B">
            <w:pPr>
              <w:pStyle w:val="Cell"/>
            </w:pPr>
            <w:r w:rsidRPr="003859B6">
              <w:t>713</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O</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O</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29" w:type="dxa"/>
            <w:tcBorders>
              <w:top w:val="nil"/>
              <w:left w:val="nil"/>
              <w:bottom w:val="nil"/>
              <w:right w:val="single" w:sz="4" w:space="0" w:color="808080" w:themeColor="background1" w:themeShade="80"/>
            </w:tcBorders>
            <w:shd w:val="clear" w:color="auto" w:fill="FFFFFF" w:themeFill="background1"/>
          </w:tcPr>
          <w:p w:rsidR="00750CD5" w:rsidRPr="003859B6" w:rsidRDefault="00750CD5" w:rsidP="00750CD5">
            <w:pPr>
              <w:pStyle w:val="Cell"/>
              <w:jc w:val="center"/>
            </w:pPr>
            <w:r w:rsidRPr="003859B6">
              <w:t>O</w:t>
            </w:r>
          </w:p>
        </w:tc>
      </w:tr>
      <w:tr w:rsidR="00B402FB" w:rsidRPr="003859B6" w:rsidTr="007C2C0E">
        <w:trPr>
          <w:jc w:val="center"/>
        </w:trPr>
        <w:tc>
          <w:tcPr>
            <w:tcW w:w="522" w:type="dxa"/>
            <w:tcBorders>
              <w:top w:val="nil"/>
              <w:left w:val="single" w:sz="4" w:space="0" w:color="808080" w:themeColor="background1" w:themeShade="80"/>
              <w:bottom w:val="nil"/>
              <w:right w:val="nil"/>
            </w:tcBorders>
            <w:shd w:val="clear" w:color="auto" w:fill="auto"/>
          </w:tcPr>
          <w:p w:rsidR="00750CD5" w:rsidRPr="003859B6" w:rsidRDefault="00750CD5" w:rsidP="00100D5B">
            <w:pPr>
              <w:pStyle w:val="Cell"/>
            </w:pPr>
            <w:r w:rsidRPr="003859B6">
              <w:t>714</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29" w:type="dxa"/>
            <w:tcBorders>
              <w:top w:val="nil"/>
              <w:left w:val="nil"/>
              <w:bottom w:val="nil"/>
              <w:right w:val="single" w:sz="4" w:space="0" w:color="808080" w:themeColor="background1" w:themeShade="80"/>
            </w:tcBorders>
            <w:shd w:val="clear" w:color="auto" w:fill="FFFFFF" w:themeFill="background1"/>
          </w:tcPr>
          <w:p w:rsidR="00750CD5" w:rsidRPr="003859B6" w:rsidRDefault="00750CD5" w:rsidP="00750CD5">
            <w:pPr>
              <w:pStyle w:val="Cell"/>
              <w:jc w:val="center"/>
            </w:pPr>
            <w:r w:rsidRPr="003859B6">
              <w:t>F</w:t>
            </w:r>
          </w:p>
        </w:tc>
      </w:tr>
      <w:tr w:rsidR="00B402FB" w:rsidRPr="003859B6" w:rsidTr="007C2C0E">
        <w:trPr>
          <w:jc w:val="center"/>
        </w:trPr>
        <w:tc>
          <w:tcPr>
            <w:tcW w:w="522" w:type="dxa"/>
            <w:tcBorders>
              <w:top w:val="nil"/>
              <w:left w:val="single" w:sz="4" w:space="0" w:color="808080" w:themeColor="background1" w:themeShade="80"/>
              <w:bottom w:val="nil"/>
              <w:right w:val="nil"/>
            </w:tcBorders>
            <w:shd w:val="clear" w:color="auto" w:fill="auto"/>
          </w:tcPr>
          <w:p w:rsidR="00750CD5" w:rsidRPr="003859B6" w:rsidRDefault="00750CD5" w:rsidP="00100D5B">
            <w:pPr>
              <w:pStyle w:val="Cell"/>
            </w:pPr>
            <w:r w:rsidRPr="003859B6">
              <w:t>715</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O</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O</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O</w:t>
            </w:r>
          </w:p>
        </w:tc>
        <w:tc>
          <w:tcPr>
            <w:tcW w:w="1429" w:type="dxa"/>
            <w:tcBorders>
              <w:top w:val="nil"/>
              <w:left w:val="nil"/>
              <w:bottom w:val="nil"/>
              <w:right w:val="single" w:sz="4" w:space="0" w:color="808080" w:themeColor="background1" w:themeShade="80"/>
            </w:tcBorders>
            <w:shd w:val="clear" w:color="auto" w:fill="FFFFFF" w:themeFill="background1"/>
          </w:tcPr>
          <w:p w:rsidR="00750CD5" w:rsidRPr="003859B6" w:rsidRDefault="00750CD5" w:rsidP="00750CD5">
            <w:pPr>
              <w:pStyle w:val="Cell"/>
              <w:jc w:val="center"/>
            </w:pPr>
            <w:r w:rsidRPr="003859B6">
              <w:t>O</w:t>
            </w:r>
          </w:p>
        </w:tc>
      </w:tr>
      <w:tr w:rsidR="00B402FB" w:rsidRPr="003859B6" w:rsidTr="007C2C0E">
        <w:trPr>
          <w:jc w:val="center"/>
        </w:trPr>
        <w:tc>
          <w:tcPr>
            <w:tcW w:w="522" w:type="dxa"/>
            <w:tcBorders>
              <w:top w:val="nil"/>
              <w:left w:val="single" w:sz="4" w:space="0" w:color="808080" w:themeColor="background1" w:themeShade="80"/>
              <w:bottom w:val="nil"/>
              <w:right w:val="nil"/>
            </w:tcBorders>
            <w:shd w:val="clear" w:color="auto" w:fill="auto"/>
          </w:tcPr>
          <w:p w:rsidR="00750CD5" w:rsidRPr="003859B6" w:rsidRDefault="00750CD5" w:rsidP="00100D5B">
            <w:pPr>
              <w:pStyle w:val="Cell"/>
            </w:pPr>
            <w:r w:rsidRPr="003859B6">
              <w:t>716</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U</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U</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29" w:type="dxa"/>
            <w:tcBorders>
              <w:top w:val="nil"/>
              <w:left w:val="nil"/>
              <w:bottom w:val="nil"/>
              <w:right w:val="single" w:sz="4" w:space="0" w:color="808080" w:themeColor="background1" w:themeShade="80"/>
            </w:tcBorders>
            <w:shd w:val="clear" w:color="auto" w:fill="FFFFFF" w:themeFill="background1"/>
          </w:tcPr>
          <w:p w:rsidR="00750CD5" w:rsidRPr="003859B6" w:rsidRDefault="00750CD5" w:rsidP="00750CD5">
            <w:pPr>
              <w:pStyle w:val="Cell"/>
              <w:jc w:val="center"/>
            </w:pPr>
            <w:r w:rsidRPr="003859B6">
              <w:t>O</w:t>
            </w:r>
          </w:p>
        </w:tc>
      </w:tr>
      <w:tr w:rsidR="00B402FB" w:rsidRPr="003859B6" w:rsidTr="007C2C0E">
        <w:trPr>
          <w:jc w:val="center"/>
        </w:trPr>
        <w:tc>
          <w:tcPr>
            <w:tcW w:w="522" w:type="dxa"/>
            <w:tcBorders>
              <w:top w:val="nil"/>
              <w:left w:val="single" w:sz="4" w:space="0" w:color="808080" w:themeColor="background1" w:themeShade="80"/>
              <w:bottom w:val="nil"/>
              <w:right w:val="nil"/>
            </w:tcBorders>
            <w:shd w:val="clear" w:color="auto" w:fill="auto"/>
          </w:tcPr>
          <w:p w:rsidR="00750CD5" w:rsidRPr="003859B6" w:rsidRDefault="00750CD5" w:rsidP="00100D5B">
            <w:pPr>
              <w:pStyle w:val="Cell"/>
            </w:pPr>
            <w:r w:rsidRPr="003859B6">
              <w:t>717</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U</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U</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13" w:type="dxa"/>
            <w:tcBorders>
              <w:top w:val="nil"/>
              <w:left w:val="nil"/>
              <w:bottom w:val="nil"/>
              <w:right w:val="nil"/>
            </w:tcBorders>
            <w:shd w:val="clear" w:color="auto" w:fill="FFFFFF" w:themeFill="background1"/>
          </w:tcPr>
          <w:p w:rsidR="00750CD5" w:rsidRPr="003859B6" w:rsidRDefault="00750CD5" w:rsidP="00750CD5">
            <w:pPr>
              <w:pStyle w:val="Cell"/>
              <w:jc w:val="center"/>
            </w:pPr>
            <w:r w:rsidRPr="003859B6">
              <w:t>F</w:t>
            </w:r>
          </w:p>
        </w:tc>
        <w:tc>
          <w:tcPr>
            <w:tcW w:w="1429" w:type="dxa"/>
            <w:tcBorders>
              <w:top w:val="nil"/>
              <w:left w:val="nil"/>
              <w:bottom w:val="nil"/>
              <w:right w:val="single" w:sz="4" w:space="0" w:color="808080" w:themeColor="background1" w:themeShade="80"/>
            </w:tcBorders>
            <w:shd w:val="clear" w:color="auto" w:fill="FFFFFF" w:themeFill="background1"/>
          </w:tcPr>
          <w:p w:rsidR="00750CD5" w:rsidRPr="003859B6" w:rsidRDefault="00750CD5" w:rsidP="00750CD5">
            <w:pPr>
              <w:pStyle w:val="Cell"/>
              <w:jc w:val="center"/>
            </w:pPr>
            <w:r w:rsidRPr="003859B6">
              <w:t>F</w:t>
            </w:r>
          </w:p>
        </w:tc>
      </w:tr>
      <w:tr w:rsidR="00B402FB" w:rsidRPr="003859B6" w:rsidTr="007C2C0E">
        <w:trPr>
          <w:jc w:val="center"/>
        </w:trPr>
        <w:tc>
          <w:tcPr>
            <w:tcW w:w="522" w:type="dxa"/>
            <w:tcBorders>
              <w:top w:val="nil"/>
              <w:left w:val="single" w:sz="4" w:space="0" w:color="808080" w:themeColor="background1" w:themeShade="80"/>
              <w:bottom w:val="single" w:sz="4" w:space="0" w:color="808080" w:themeColor="background1" w:themeShade="80"/>
              <w:right w:val="nil"/>
            </w:tcBorders>
            <w:shd w:val="clear" w:color="auto" w:fill="auto"/>
          </w:tcPr>
          <w:p w:rsidR="00750CD5" w:rsidRPr="003859B6" w:rsidRDefault="00750CD5" w:rsidP="00100D5B">
            <w:pPr>
              <w:pStyle w:val="Cell"/>
            </w:pPr>
            <w:r w:rsidRPr="003859B6">
              <w:t>718</w:t>
            </w:r>
          </w:p>
        </w:tc>
        <w:tc>
          <w:tcPr>
            <w:tcW w:w="1413" w:type="dxa"/>
            <w:tcBorders>
              <w:top w:val="nil"/>
              <w:left w:val="nil"/>
              <w:bottom w:val="single" w:sz="4" w:space="0" w:color="808080" w:themeColor="background1" w:themeShade="80"/>
              <w:right w:val="nil"/>
            </w:tcBorders>
            <w:shd w:val="clear" w:color="auto" w:fill="FFFFFF" w:themeFill="background1"/>
          </w:tcPr>
          <w:p w:rsidR="00750CD5" w:rsidRPr="003859B6" w:rsidRDefault="00750CD5" w:rsidP="00750CD5">
            <w:pPr>
              <w:pStyle w:val="Cell"/>
              <w:jc w:val="center"/>
            </w:pPr>
            <w:r w:rsidRPr="003859B6">
              <w:t>O</w:t>
            </w:r>
          </w:p>
        </w:tc>
        <w:tc>
          <w:tcPr>
            <w:tcW w:w="1413" w:type="dxa"/>
            <w:tcBorders>
              <w:top w:val="nil"/>
              <w:left w:val="nil"/>
              <w:bottom w:val="single" w:sz="4" w:space="0" w:color="808080" w:themeColor="background1" w:themeShade="80"/>
              <w:right w:val="nil"/>
            </w:tcBorders>
            <w:shd w:val="clear" w:color="auto" w:fill="FFFFFF" w:themeFill="background1"/>
          </w:tcPr>
          <w:p w:rsidR="00750CD5" w:rsidRPr="003859B6" w:rsidRDefault="00750CD5" w:rsidP="00750CD5">
            <w:pPr>
              <w:pStyle w:val="Cell"/>
              <w:jc w:val="center"/>
            </w:pPr>
            <w:r w:rsidRPr="003859B6">
              <w:t>O</w:t>
            </w:r>
          </w:p>
        </w:tc>
        <w:tc>
          <w:tcPr>
            <w:tcW w:w="1413" w:type="dxa"/>
            <w:tcBorders>
              <w:top w:val="nil"/>
              <w:left w:val="nil"/>
              <w:bottom w:val="single" w:sz="4" w:space="0" w:color="808080" w:themeColor="background1" w:themeShade="80"/>
              <w:right w:val="nil"/>
            </w:tcBorders>
            <w:shd w:val="clear" w:color="auto" w:fill="FFFFFF" w:themeFill="background1"/>
          </w:tcPr>
          <w:p w:rsidR="00750CD5" w:rsidRPr="003859B6" w:rsidRDefault="00750CD5" w:rsidP="00750CD5">
            <w:pPr>
              <w:pStyle w:val="Cell"/>
              <w:jc w:val="center"/>
            </w:pPr>
            <w:r w:rsidRPr="003859B6">
              <w:t>F</w:t>
            </w:r>
          </w:p>
        </w:tc>
        <w:tc>
          <w:tcPr>
            <w:tcW w:w="1413" w:type="dxa"/>
            <w:tcBorders>
              <w:top w:val="nil"/>
              <w:left w:val="nil"/>
              <w:bottom w:val="single" w:sz="4" w:space="0" w:color="808080" w:themeColor="background1" w:themeShade="80"/>
              <w:right w:val="nil"/>
            </w:tcBorders>
            <w:shd w:val="clear" w:color="auto" w:fill="FFFFFF" w:themeFill="background1"/>
          </w:tcPr>
          <w:p w:rsidR="00750CD5" w:rsidRPr="003859B6" w:rsidRDefault="00750CD5" w:rsidP="00750CD5">
            <w:pPr>
              <w:pStyle w:val="Cell"/>
              <w:jc w:val="center"/>
            </w:pPr>
            <w:r w:rsidRPr="003859B6">
              <w:t>F</w:t>
            </w:r>
          </w:p>
        </w:tc>
        <w:tc>
          <w:tcPr>
            <w:tcW w:w="1429"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tcPr>
          <w:p w:rsidR="00750CD5" w:rsidRPr="003859B6" w:rsidRDefault="00750CD5" w:rsidP="00750CD5">
            <w:pPr>
              <w:pStyle w:val="Cell"/>
              <w:jc w:val="center"/>
            </w:pPr>
            <w:r w:rsidRPr="003859B6">
              <w:t>F</w:t>
            </w:r>
          </w:p>
        </w:tc>
      </w:tr>
    </w:tbl>
    <w:p w:rsidR="00EC3E27" w:rsidRPr="003859B6" w:rsidRDefault="00EC3E27" w:rsidP="00A57766">
      <w:pPr>
        <w:pStyle w:val="TableNote"/>
        <w:rPr>
          <w:lang w:eastAsia="en-US"/>
        </w:rPr>
      </w:pPr>
    </w:p>
    <w:p w:rsidR="00A57766" w:rsidRPr="003859B6" w:rsidRDefault="00A57766" w:rsidP="00A57766">
      <w:pPr>
        <w:pStyle w:val="TableNote"/>
        <w:rPr>
          <w:lang w:eastAsia="en-US"/>
        </w:rPr>
      </w:pPr>
      <w:r w:rsidRPr="003859B6">
        <w:rPr>
          <w:i/>
          <w:lang w:eastAsia="en-US"/>
        </w:rPr>
        <w:t>Notes:</w:t>
      </w:r>
      <w:r w:rsidRPr="003859B6">
        <w:rPr>
          <w:lang w:eastAsia="en-US"/>
        </w:rPr>
        <w:t xml:space="preserve"> Status is coded as follows: U = under-exploited, F </w:t>
      </w:r>
      <w:r w:rsidR="009144B1" w:rsidRPr="003859B6">
        <w:rPr>
          <w:lang w:eastAsia="en-US"/>
        </w:rPr>
        <w:t>=</w:t>
      </w:r>
      <w:r w:rsidRPr="003859B6">
        <w:rPr>
          <w:lang w:eastAsia="en-US"/>
        </w:rPr>
        <w:t xml:space="preserve"> fully exploited, O = over-exploited</w:t>
      </w:r>
      <w:r w:rsidR="00750CD5" w:rsidRPr="003859B6">
        <w:rPr>
          <w:lang w:eastAsia="en-US"/>
        </w:rPr>
        <w:t>.</w:t>
      </w:r>
      <w:r w:rsidR="00750CD5" w:rsidRPr="003859B6" w:rsidDel="00750CD5">
        <w:rPr>
          <w:lang w:eastAsia="en-US"/>
        </w:rPr>
        <w:t xml:space="preserve"> </w:t>
      </w:r>
      <w:r w:rsidRPr="003859B6">
        <w:rPr>
          <w:lang w:eastAsia="en-US"/>
        </w:rPr>
        <w:t xml:space="preserve">WPPs are numbered from West to East.  </w:t>
      </w:r>
    </w:p>
    <w:p w:rsidR="009B1CD3" w:rsidRPr="003859B6" w:rsidRDefault="009B1CD3" w:rsidP="00A57766">
      <w:pPr>
        <w:pStyle w:val="TableNote"/>
        <w:rPr>
          <w:szCs w:val="16"/>
        </w:rPr>
      </w:pPr>
      <w:r w:rsidRPr="003859B6">
        <w:rPr>
          <w:i/>
          <w:szCs w:val="16"/>
        </w:rPr>
        <w:t>Source:</w:t>
      </w:r>
      <w:r w:rsidRPr="003859B6">
        <w:rPr>
          <w:szCs w:val="16"/>
        </w:rPr>
        <w:t xml:space="preserve"> </w:t>
      </w:r>
      <w:r w:rsidR="007048A0" w:rsidRPr="003859B6">
        <w:rPr>
          <w:szCs w:val="16"/>
        </w:rPr>
        <w:t>MMAF (2016)</w:t>
      </w:r>
      <w:r w:rsidRPr="003859B6">
        <w:rPr>
          <w:szCs w:val="16"/>
        </w:rPr>
        <w:t>.</w:t>
      </w:r>
    </w:p>
    <w:p w:rsidR="00CE49F0" w:rsidRPr="003859B6" w:rsidRDefault="00CE49F0" w:rsidP="00CE49F0">
      <w:pPr>
        <w:pStyle w:val="SourceDescription"/>
      </w:pPr>
    </w:p>
    <w:p w:rsidR="0043404E" w:rsidRPr="003859B6" w:rsidRDefault="0025599A" w:rsidP="0043404E">
      <w:pPr>
        <w:pStyle w:val="Heading4"/>
      </w:pPr>
      <w:r w:rsidRPr="003859B6">
        <w:t>Threatened ecosystems</w:t>
      </w:r>
    </w:p>
    <w:p w:rsidR="00B02A67" w:rsidRPr="003859B6" w:rsidRDefault="0043404E"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22</w:instrText>
      </w:r>
      <w:r w:rsidRPr="003859B6">
        <w:fldChar w:fldCharType="end"/>
      </w:r>
      <w:r w:rsidRPr="003859B6">
        <w:instrText>.</w:instrText>
      </w:r>
      <w:r w:rsidRPr="003859B6">
        <w:tab/>
      </w:r>
      <w:r w:rsidRPr="003859B6">
        <w:fldChar w:fldCharType="end"/>
      </w:r>
      <w:r w:rsidR="009E5812" w:rsidRPr="003859B6">
        <w:t xml:space="preserve">Indonesia’s coral reef and mangrove ecosystems are </w:t>
      </w:r>
      <w:r w:rsidR="008C5E1B" w:rsidRPr="003859B6">
        <w:t>also</w:t>
      </w:r>
      <w:r w:rsidR="009E5812" w:rsidRPr="003859B6">
        <w:t xml:space="preserve"> threatened by seafood production. </w:t>
      </w:r>
      <w:r w:rsidR="002B4A49" w:rsidRPr="003859B6">
        <w:t>The Indonesian coast is home to around one</w:t>
      </w:r>
      <w:r w:rsidR="009E5812" w:rsidRPr="003859B6">
        <w:t>-</w:t>
      </w:r>
      <w:r w:rsidR="002B4A49" w:rsidRPr="003859B6">
        <w:t>fifth of global coral reefs and more than half of global coral species</w:t>
      </w:r>
      <w:r w:rsidR="00EC3E27" w:rsidRPr="003859B6">
        <w:t>,</w:t>
      </w:r>
      <w:r w:rsidR="002B4A49" w:rsidRPr="003859B6">
        <w:t xml:space="preserve"> as well as 3 million hectares of mangrove forests</w:t>
      </w:r>
      <w:r w:rsidR="009E5812" w:rsidRPr="003859B6">
        <w:t>, representing</w:t>
      </w:r>
      <w:r w:rsidR="002B4A49" w:rsidRPr="003859B6">
        <w:t xml:space="preserve"> almost a quarter of mangrove forests in the world with the greatest diversity of mangroves and sea grasses. Indonesian marine and brackish ecosystems offer a unique range of services, both to capture and aquaculture activities and many other sectors of activities. The vast majority of capture fisheries production comes from marine fisheries (Tran et al., forthcoming) and 80% of aquaculture production is from coastal areas (MMAF, 2016</w:t>
      </w:r>
      <w:r w:rsidR="00B33BAE" w:rsidRPr="003859B6">
        <w:t>)</w:t>
      </w:r>
      <w:r w:rsidR="002B4A49" w:rsidRPr="003859B6">
        <w:t>.</w:t>
      </w:r>
      <w:r w:rsidR="002B4A49" w:rsidRPr="003859B6">
        <w:rPr>
          <w:vertAlign w:val="superscript"/>
        </w:rPr>
        <w:footnoteReference w:id="7"/>
      </w:r>
      <w:r w:rsidR="002B4A49" w:rsidRPr="003859B6">
        <w:t xml:space="preserve"> </w:t>
      </w:r>
      <w:r w:rsidR="00B02A67" w:rsidRPr="003859B6">
        <w:t xml:space="preserve"> The coral reef ecosystem, apart from its function as marine biota, is also a carbon absorber, sea wave breaker and fish producer. The mangroves offer an important breeding ground for thousands of species as well as numerous products and ecosystem services, including firewood, recreation and tourism, erosion control, climate regulation, and protection agai</w:t>
      </w:r>
      <w:r w:rsidR="007C009E" w:rsidRPr="003859B6">
        <w:t>nst extreme weather events (</w:t>
      </w:r>
      <w:r w:rsidR="00B02A67" w:rsidRPr="003859B6">
        <w:t xml:space="preserve">Tran et al., forthcoming). </w:t>
      </w:r>
    </w:p>
    <w:p w:rsidR="00B02A67" w:rsidRPr="003859B6" w:rsidRDefault="00730FF4"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23</w:instrText>
      </w:r>
      <w:r w:rsidRPr="003859B6">
        <w:fldChar w:fldCharType="end"/>
      </w:r>
      <w:r w:rsidRPr="003859B6">
        <w:instrText>.</w:instrText>
      </w:r>
      <w:r w:rsidRPr="003859B6">
        <w:tab/>
      </w:r>
      <w:r w:rsidRPr="003859B6">
        <w:fldChar w:fldCharType="end"/>
      </w:r>
      <w:r w:rsidR="00B02A67" w:rsidRPr="003859B6">
        <w:t xml:space="preserve">However, these ecosystems’ resources are </w:t>
      </w:r>
      <w:r w:rsidR="009E5812" w:rsidRPr="003859B6">
        <w:t>being damaged by</w:t>
      </w:r>
      <w:r w:rsidR="00B02A67" w:rsidRPr="003859B6">
        <w:t xml:space="preserve"> fishing techniques and overfishing, aquaculture environmental externalities, waste disposal, sea sand mining, and other destructive practices. In 2007, only a quarter of reefs were in healthy or excellent condition, with about a third in bad or very bad condition and the remaining in modera</w:t>
      </w:r>
      <w:r w:rsidR="00F80C17" w:rsidRPr="003859B6">
        <w:t>te condition (Burke et al., 2011</w:t>
      </w:r>
      <w:r w:rsidR="00B02A67" w:rsidRPr="003859B6">
        <w:t>). Between 1975 and 2005, Indonesia lost 40% of mangroves due to conversion into fish ponds, salt production, pollution or palm plantation for oil production (</w:t>
      </w:r>
      <w:proofErr w:type="spellStart"/>
      <w:r w:rsidR="00D8695B" w:rsidRPr="003859B6">
        <w:t>Adhuri</w:t>
      </w:r>
      <w:proofErr w:type="spellEnd"/>
      <w:r w:rsidR="00D8695B" w:rsidRPr="003859B6">
        <w:t>, 2016</w:t>
      </w:r>
      <w:r w:rsidR="00B02A67" w:rsidRPr="003859B6">
        <w:t>). In particular, 95% of the mangrove forests and estuarine creeks that once lined the coast of Java have been developed into aquaculture ponds (</w:t>
      </w:r>
      <w:r w:rsidR="00446C1B" w:rsidRPr="003859B6">
        <w:t xml:space="preserve">Inside Indonesia, </w:t>
      </w:r>
      <w:proofErr w:type="spellStart"/>
      <w:r w:rsidR="00446C1B" w:rsidRPr="003859B6">
        <w:t>n.d.</w:t>
      </w:r>
      <w:proofErr w:type="spellEnd"/>
      <w:r w:rsidR="00B02A67" w:rsidRPr="003859B6">
        <w:t>). Inland water bodies are also at risk, notably due to eutrophication around cage and pen farms. In some areas of Java, aquaculture in lakes is competing with freshwater for human use in urban areas (</w:t>
      </w:r>
      <w:proofErr w:type="spellStart"/>
      <w:r w:rsidR="00B02A67" w:rsidRPr="003859B6">
        <w:t>Rimmer</w:t>
      </w:r>
      <w:proofErr w:type="spellEnd"/>
      <w:r w:rsidR="00B02A67" w:rsidRPr="003859B6">
        <w:t xml:space="preserve"> et al</w:t>
      </w:r>
      <w:r w:rsidR="00AC2E68" w:rsidRPr="003859B6">
        <w:t>.</w:t>
      </w:r>
      <w:r w:rsidR="00B02A67" w:rsidRPr="003859B6">
        <w:t xml:space="preserve">, 2013). </w:t>
      </w:r>
      <w:r w:rsidR="00E374D9" w:rsidRPr="003859B6">
        <w:t xml:space="preserve"> </w:t>
      </w:r>
    </w:p>
    <w:p w:rsidR="00B02A67" w:rsidRPr="003859B6" w:rsidRDefault="001E6592" w:rsidP="00730FF4">
      <w:pPr>
        <w:pStyle w:val="Heading3"/>
      </w:pPr>
      <w:bookmarkStart w:id="57" w:name="_Toc472354580"/>
      <w:bookmarkStart w:id="58" w:name="_Toc472954974"/>
      <w:bookmarkStart w:id="59" w:name="_Toc474487630"/>
      <w:r w:rsidRPr="003859B6">
        <w:t>Policies</w:t>
      </w:r>
      <w:r w:rsidR="00F21A3D" w:rsidRPr="003859B6">
        <w:t xml:space="preserve"> against illegal f</w:t>
      </w:r>
      <w:bookmarkStart w:id="60" w:name="_Toc472936626"/>
      <w:bookmarkEnd w:id="57"/>
      <w:r w:rsidR="009E5812" w:rsidRPr="003859B6">
        <w:t>ishing</w:t>
      </w:r>
      <w:bookmarkEnd w:id="58"/>
      <w:bookmarkEnd w:id="59"/>
      <w:bookmarkEnd w:id="60"/>
    </w:p>
    <w:p w:rsidR="00B02A67" w:rsidRPr="003859B6" w:rsidRDefault="00C62FA7"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24</w:instrText>
      </w:r>
      <w:r w:rsidRPr="003859B6">
        <w:fldChar w:fldCharType="end"/>
      </w:r>
      <w:r w:rsidRPr="003859B6">
        <w:instrText>.</w:instrText>
      </w:r>
      <w:r w:rsidRPr="003859B6">
        <w:tab/>
      </w:r>
      <w:r w:rsidRPr="003859B6">
        <w:fldChar w:fldCharType="end"/>
      </w:r>
      <w:r w:rsidR="00B02A67" w:rsidRPr="003859B6">
        <w:t xml:space="preserve">The </w:t>
      </w:r>
      <w:r w:rsidR="008B1C89" w:rsidRPr="003859B6">
        <w:t xml:space="preserve">Government </w:t>
      </w:r>
      <w:r w:rsidR="00B02A67" w:rsidRPr="003859B6">
        <w:t>of Indonesia has identified illegal, unregulated and unreported (IUU) fishing as the most serious challenge to fisheries sustainability, as well as a key economic and maritime security issue</w:t>
      </w:r>
      <w:r w:rsidR="00B33BAE" w:rsidRPr="003859B6">
        <w:t>,</w:t>
      </w:r>
      <w:r w:rsidR="00B02A67" w:rsidRPr="003859B6">
        <w:t xml:space="preserve"> as </w:t>
      </w:r>
      <w:r w:rsidR="003C7CEF" w:rsidRPr="003859B6">
        <w:t xml:space="preserve">IUU </w:t>
      </w:r>
      <w:r w:rsidR="009F0ADF" w:rsidRPr="003859B6">
        <w:t xml:space="preserve">fishing </w:t>
      </w:r>
      <w:r w:rsidR="00B02A67" w:rsidRPr="003859B6">
        <w:t xml:space="preserve">has </w:t>
      </w:r>
      <w:r w:rsidR="00B33BAE" w:rsidRPr="003859B6">
        <w:t xml:space="preserve">both </w:t>
      </w:r>
      <w:r w:rsidR="00B02A67" w:rsidRPr="003859B6">
        <w:t xml:space="preserve">created a major strain on fish availability and remuneration from fishing </w:t>
      </w:r>
      <w:r w:rsidR="00B33BAE" w:rsidRPr="003859B6">
        <w:t>and</w:t>
      </w:r>
      <w:r w:rsidR="00B02A67" w:rsidRPr="003859B6" w:rsidDel="00B33BAE">
        <w:t xml:space="preserve"> </w:t>
      </w:r>
      <w:r w:rsidR="00B33BAE" w:rsidRPr="003859B6">
        <w:t xml:space="preserve">caused </w:t>
      </w:r>
      <w:r w:rsidR="00B02A67" w:rsidRPr="003859B6">
        <w:t xml:space="preserve">breaches </w:t>
      </w:r>
      <w:r w:rsidR="00D8695B" w:rsidRPr="003859B6">
        <w:t xml:space="preserve">of </w:t>
      </w:r>
      <w:r w:rsidR="00B02A67" w:rsidRPr="003859B6">
        <w:t xml:space="preserve">sea sovereignty. </w:t>
      </w:r>
    </w:p>
    <w:p w:rsidR="00C62FA7" w:rsidRPr="003859B6" w:rsidRDefault="00C62FA7" w:rsidP="00C62FA7">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25</w:instrText>
      </w:r>
      <w:r w:rsidRPr="003859B6">
        <w:fldChar w:fldCharType="end"/>
      </w:r>
      <w:r w:rsidRPr="003859B6">
        <w:instrText>.</w:instrText>
      </w:r>
      <w:r w:rsidRPr="003859B6">
        <w:tab/>
      </w:r>
      <w:r w:rsidRPr="003859B6">
        <w:fldChar w:fldCharType="end"/>
      </w:r>
      <w:r w:rsidR="00890AE8" w:rsidRPr="003859B6">
        <w:t>IUU fishing places marine resources under</w:t>
      </w:r>
      <w:r w:rsidR="001E41D3" w:rsidRPr="003859B6">
        <w:t xml:space="preserve"> significant</w:t>
      </w:r>
      <w:r w:rsidR="00890AE8" w:rsidRPr="003859B6">
        <w:t xml:space="preserve"> pressure in Indonesia, where the practice is thought to account</w:t>
      </w:r>
      <w:r w:rsidRPr="003859B6">
        <w:t xml:space="preserve"> for up to a third of total catches. Reconstructing catch data for Central and Eastern Indonesia from 1950 to 2010 by combining official data with published and anecdotal knowledge on IUU fishing into coherent time series, </w:t>
      </w:r>
      <w:proofErr w:type="spellStart"/>
      <w:r w:rsidRPr="003859B6">
        <w:t>Pauly</w:t>
      </w:r>
      <w:proofErr w:type="spellEnd"/>
      <w:r w:rsidRPr="003859B6">
        <w:t xml:space="preserve"> and </w:t>
      </w:r>
      <w:proofErr w:type="spellStart"/>
      <w:r w:rsidRPr="003859B6">
        <w:t>Budimartono</w:t>
      </w:r>
      <w:proofErr w:type="spellEnd"/>
      <w:r w:rsidRPr="003859B6">
        <w:t xml:space="preserve"> (2015) find a total catch that is 39% larger than that reported by the FAO on behalf of Indonesia. They suggest that, in addition to illegal fishing, notably by foreign vessels, non-reported catches by domestic trawlers may also be significant, particularly in remote eastern regions, where numerous small landing sites mean that a large proportion of the catch is not included in official statistics. Eliminating IUU fishing could thus substantially reduce the pressure on resources, </w:t>
      </w:r>
      <w:r w:rsidR="00B33BAE" w:rsidRPr="003859B6">
        <w:t>providing that</w:t>
      </w:r>
      <w:r w:rsidRPr="003859B6">
        <w:t xml:space="preserve"> IUU fishing is not entirely replaced by legal fishing. </w:t>
      </w:r>
    </w:p>
    <w:p w:rsidR="00B02A67" w:rsidRPr="003859B6" w:rsidRDefault="00730FF4"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26</w:instrText>
      </w:r>
      <w:r w:rsidRPr="003859B6">
        <w:fldChar w:fldCharType="end"/>
      </w:r>
      <w:r w:rsidRPr="003859B6">
        <w:instrText>.</w:instrText>
      </w:r>
      <w:r w:rsidRPr="003859B6">
        <w:tab/>
      </w:r>
      <w:r w:rsidRPr="003859B6">
        <w:fldChar w:fldCharType="end"/>
      </w:r>
      <w:r w:rsidR="00B02A67" w:rsidRPr="003859B6">
        <w:t xml:space="preserve">In 2014, a </w:t>
      </w:r>
      <w:r w:rsidR="00FD79EC" w:rsidRPr="003859B6">
        <w:t xml:space="preserve">Presidential </w:t>
      </w:r>
      <w:r w:rsidR="00B02A67" w:rsidRPr="003859B6">
        <w:t xml:space="preserve">Taskforce to Prevent and Combat IUU Fishing (hereafter Taskforce) was established by President </w:t>
      </w:r>
      <w:proofErr w:type="spellStart"/>
      <w:r w:rsidR="00B02A67" w:rsidRPr="003859B6">
        <w:t>Jokowi</w:t>
      </w:r>
      <w:proofErr w:type="spellEnd"/>
      <w:r w:rsidR="00B02A67" w:rsidRPr="003859B6">
        <w:t xml:space="preserve"> to lead efforts</w:t>
      </w:r>
      <w:r w:rsidR="00890AE8" w:rsidRPr="003859B6">
        <w:t xml:space="preserve"> to combat IUU</w:t>
      </w:r>
      <w:r w:rsidR="00B02A67" w:rsidRPr="003859B6">
        <w:t xml:space="preserve">. The Taskforce </w:t>
      </w:r>
      <w:r w:rsidR="00EB4E58" w:rsidRPr="003859B6">
        <w:t xml:space="preserve">focuses on illegal fishing and associated crimes, as well as under-reported fishing, but is not concerned with unregulated fishing, </w:t>
      </w:r>
      <w:r w:rsidR="006E2E6D" w:rsidRPr="003859B6">
        <w:t>which in fact encompasses much of the artisanal fishing activities over which MMAF has not yet implemented controls and restrictions.</w:t>
      </w:r>
      <w:r w:rsidR="00EB4E58" w:rsidRPr="003859B6">
        <w:t xml:space="preserve"> </w:t>
      </w:r>
      <w:r w:rsidR="00896498" w:rsidRPr="003859B6">
        <w:t>The Taskforce</w:t>
      </w:r>
      <w:r w:rsidR="008D4D1E" w:rsidRPr="003859B6">
        <w:t xml:space="preserve"> built institutional co-operation by bringing</w:t>
      </w:r>
      <w:r w:rsidR="00B02A67" w:rsidRPr="003859B6">
        <w:t xml:space="preserve"> together the navy, the police, tax authorities, the maritime authority and the Attorney General’s office under the responsibility of</w:t>
      </w:r>
      <w:r w:rsidR="008D4D1E" w:rsidRPr="003859B6">
        <w:t xml:space="preserve"> the Taskforce’s</w:t>
      </w:r>
      <w:r w:rsidR="00B02A67" w:rsidRPr="003859B6">
        <w:t xml:space="preserve"> </w:t>
      </w:r>
      <w:r w:rsidR="00F361AB" w:rsidRPr="003859B6">
        <w:t xml:space="preserve">Minister </w:t>
      </w:r>
      <w:proofErr w:type="spellStart"/>
      <w:r w:rsidR="00B02A67" w:rsidRPr="003859B6">
        <w:t>Pu</w:t>
      </w:r>
      <w:r w:rsidR="002D7B8A" w:rsidRPr="003859B6">
        <w:t>d</w:t>
      </w:r>
      <w:r w:rsidR="00B02A67" w:rsidRPr="003859B6">
        <w:t>jiastuti</w:t>
      </w:r>
      <w:proofErr w:type="spellEnd"/>
      <w:r w:rsidR="00B02A67" w:rsidRPr="003859B6">
        <w:t xml:space="preserve">. </w:t>
      </w:r>
      <w:r w:rsidR="008D4D1E" w:rsidRPr="003859B6">
        <w:t>The b</w:t>
      </w:r>
      <w:r w:rsidR="00B02A67" w:rsidRPr="003859B6">
        <w:t>udget allocated to surveillance o</w:t>
      </w:r>
      <w:r w:rsidR="002D7B8A" w:rsidRPr="003859B6">
        <w:t>f marine and fisheries resources</w:t>
      </w:r>
      <w:r w:rsidR="00B02A67" w:rsidRPr="003859B6">
        <w:t xml:space="preserve"> </w:t>
      </w:r>
      <w:r w:rsidR="008D4D1E" w:rsidRPr="003859B6">
        <w:t xml:space="preserve">was </w:t>
      </w:r>
      <w:r w:rsidR="00B02A67" w:rsidRPr="003859B6">
        <w:t xml:space="preserve">increased by more than 30% between 2014 and 2015, using funds previously allocated to fuel subsidies </w:t>
      </w:r>
      <w:r w:rsidR="006E2E6D" w:rsidRPr="003859B6">
        <w:t xml:space="preserve">for the sector </w:t>
      </w:r>
      <w:r w:rsidR="00B02A67" w:rsidRPr="003859B6">
        <w:t xml:space="preserve">which </w:t>
      </w:r>
      <w:r w:rsidR="008D4D1E" w:rsidRPr="003859B6">
        <w:t xml:space="preserve">had been </w:t>
      </w:r>
      <w:r w:rsidR="00B02A67" w:rsidRPr="003859B6">
        <w:t xml:space="preserve">reduced in late 2014 (CEA, 2016). This budget increase was the strongest across all budget spending categories of MMAF, which on average saw its allocation increase by over 60 % between 2014 and 2015 (Figure </w:t>
      </w:r>
      <w:r w:rsidR="00FD79EC" w:rsidRPr="003859B6">
        <w:t>7</w:t>
      </w:r>
      <w:r w:rsidR="00B02A67" w:rsidRPr="003859B6">
        <w:t>).</w:t>
      </w:r>
    </w:p>
    <w:p w:rsidR="00BD7584" w:rsidRPr="003859B6" w:rsidRDefault="00BD7584"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27</w:instrText>
      </w:r>
      <w:r w:rsidRPr="003859B6">
        <w:fldChar w:fldCharType="end"/>
      </w:r>
      <w:r w:rsidRPr="003859B6">
        <w:instrText>.</w:instrText>
      </w:r>
      <w:r w:rsidRPr="003859B6">
        <w:tab/>
      </w:r>
      <w:r w:rsidRPr="003859B6">
        <w:fldChar w:fldCharType="end"/>
      </w:r>
      <w:r w:rsidR="008D4D1E" w:rsidRPr="003859B6">
        <w:t>Soon after the Taskforce was established, MMAF decided to close Indonesian waters to industrial fishing boats. The ministry took this decision after o</w:t>
      </w:r>
      <w:r w:rsidR="00896498" w:rsidRPr="003859B6">
        <w:t xml:space="preserve">bserving that the vast majority of industrial vessels fishing in the Indonesian </w:t>
      </w:r>
      <w:r w:rsidR="0041621C" w:rsidRPr="003859B6">
        <w:t>exclusive economic zone (</w:t>
      </w:r>
      <w:r w:rsidR="00896498" w:rsidRPr="003859B6">
        <w:t>EEZ</w:t>
      </w:r>
      <w:r w:rsidR="0041621C" w:rsidRPr="003859B6">
        <w:t>)</w:t>
      </w:r>
      <w:r w:rsidR="00896498" w:rsidRPr="003859B6">
        <w:t xml:space="preserve"> operated in fraudulent circumstances, </w:t>
      </w:r>
      <w:r w:rsidR="008D4D1E" w:rsidRPr="003859B6">
        <w:t>and closing the EEZ would permit it</w:t>
      </w:r>
      <w:r w:rsidR="00285809" w:rsidRPr="003859B6">
        <w:t xml:space="preserve"> </w:t>
      </w:r>
      <w:r w:rsidRPr="003859B6">
        <w:t>to</w:t>
      </w:r>
      <w:r w:rsidR="00896498" w:rsidRPr="003859B6">
        <w:t xml:space="preserve"> perform an in-depth audit of the situation at sea. Regulation 56/2014 </w:t>
      </w:r>
      <w:r w:rsidR="008D4D1E" w:rsidRPr="003859B6">
        <w:t xml:space="preserve">introduced </w:t>
      </w:r>
      <w:r w:rsidR="00D15D1D" w:rsidRPr="003859B6">
        <w:t xml:space="preserve">both </w:t>
      </w:r>
      <w:r w:rsidR="00896498" w:rsidRPr="003859B6">
        <w:t>a permanent moratorium on fishing by ex-foreign vessels operating within the EEZ</w:t>
      </w:r>
      <w:r w:rsidR="008D4D1E" w:rsidRPr="003859B6">
        <w:t xml:space="preserve"> – effectively  shutting</w:t>
      </w:r>
      <w:r w:rsidR="00896498" w:rsidRPr="003859B6">
        <w:t xml:space="preserve"> down access to </w:t>
      </w:r>
      <w:r w:rsidRPr="003859B6">
        <w:t>the</w:t>
      </w:r>
      <w:r w:rsidR="00896498" w:rsidRPr="003859B6">
        <w:t xml:space="preserve"> EEZ </w:t>
      </w:r>
      <w:r w:rsidR="00D15D1D" w:rsidRPr="003859B6">
        <w:t xml:space="preserve">by </w:t>
      </w:r>
      <w:r w:rsidRPr="003859B6">
        <w:t>the largest vessels</w:t>
      </w:r>
      <w:r w:rsidR="00D15D1D" w:rsidRPr="003859B6">
        <w:t>,</w:t>
      </w:r>
      <w:r w:rsidRPr="003859B6">
        <w:t xml:space="preserve"> as most of </w:t>
      </w:r>
      <w:r w:rsidR="00D15D1D" w:rsidRPr="003859B6">
        <w:t xml:space="preserve">these </w:t>
      </w:r>
      <w:r w:rsidR="00896498" w:rsidRPr="003859B6">
        <w:t xml:space="preserve">were </w:t>
      </w:r>
      <w:r w:rsidRPr="003859B6">
        <w:t xml:space="preserve">foreign-built as well as </w:t>
      </w:r>
      <w:r w:rsidR="00896498" w:rsidRPr="003859B6">
        <w:t>operated by foreign companies and crews</w:t>
      </w:r>
      <w:r w:rsidR="008D4D1E" w:rsidRPr="003859B6">
        <w:t xml:space="preserve"> –</w:t>
      </w:r>
      <w:r w:rsidR="00896498" w:rsidRPr="003859B6">
        <w:t xml:space="preserve"> and a six-month moratorium on fishing licences for all boats measuring more than 30 </w:t>
      </w:r>
      <w:r w:rsidR="009C6E7D" w:rsidRPr="003859B6">
        <w:t>gross tonnage (</w:t>
      </w:r>
      <w:r w:rsidR="00896498" w:rsidRPr="003859B6">
        <w:t>GT</w:t>
      </w:r>
      <w:r w:rsidR="009C6E7D" w:rsidRPr="003859B6">
        <w:t>)</w:t>
      </w:r>
      <w:r w:rsidRPr="003859B6">
        <w:t xml:space="preserve">. This second restriction </w:t>
      </w:r>
      <w:r w:rsidR="00896498" w:rsidRPr="003859B6">
        <w:t>was later extended until the end of 2015</w:t>
      </w:r>
      <w:r w:rsidR="00D15D1D" w:rsidRPr="003859B6">
        <w:t>,</w:t>
      </w:r>
      <w:r w:rsidR="00896498" w:rsidRPr="003859B6">
        <w:t xml:space="preserve"> with Regulation 10/2015</w:t>
      </w:r>
      <w:r w:rsidRPr="003859B6">
        <w:t>.</w:t>
      </w:r>
      <w:r w:rsidR="00896498" w:rsidRPr="003859B6">
        <w:t xml:space="preserve"> </w:t>
      </w:r>
      <w:r w:rsidRPr="003859B6">
        <w:t xml:space="preserve">The compliance audit performed by the Taskforce in 2015 found that </w:t>
      </w:r>
      <w:r w:rsidR="00285809" w:rsidRPr="003859B6">
        <w:t xml:space="preserve">all </w:t>
      </w:r>
      <w:r w:rsidRPr="003859B6">
        <w:t>of the 1</w:t>
      </w:r>
      <w:r w:rsidR="008D4D1E" w:rsidRPr="003859B6">
        <w:t xml:space="preserve"> </w:t>
      </w:r>
      <w:r w:rsidRPr="003859B6">
        <w:t>132 industrial vessels that were licen</w:t>
      </w:r>
      <w:r w:rsidR="00467B7F" w:rsidRPr="003859B6">
        <w:t>c</w:t>
      </w:r>
      <w:r w:rsidRPr="003859B6">
        <w:t>ed in 2015</w:t>
      </w:r>
      <w:r w:rsidR="008D4D1E" w:rsidRPr="003859B6">
        <w:t xml:space="preserve"> </w:t>
      </w:r>
      <w:r w:rsidRPr="003859B6">
        <w:t xml:space="preserve">(all ex-foreign vessels) violated Indonesian laws and regulations in some way. Double flagging was a serious problem, as was marking down the gross tonnage of vessels. The </w:t>
      </w:r>
      <w:r w:rsidR="008B1C89" w:rsidRPr="003859B6">
        <w:t xml:space="preserve">government </w:t>
      </w:r>
      <w:r w:rsidRPr="003859B6">
        <w:t xml:space="preserve">also estimated that between 5 000 and 10 000 vessels operating in Indonesian waters </w:t>
      </w:r>
      <w:r w:rsidR="008802D0" w:rsidRPr="003859B6">
        <w:t>were using</w:t>
      </w:r>
      <w:r w:rsidRPr="003859B6">
        <w:t xml:space="preserve"> fraudulent</w:t>
      </w:r>
      <w:r w:rsidR="008802D0" w:rsidRPr="003859B6">
        <w:t>ly copied</w:t>
      </w:r>
      <w:r w:rsidRPr="003859B6">
        <w:t xml:space="preserve"> </w:t>
      </w:r>
      <w:r w:rsidR="00467B7F" w:rsidRPr="003859B6">
        <w:t>licences</w:t>
      </w:r>
      <w:r w:rsidR="008802D0" w:rsidRPr="003859B6">
        <w:t>; in some cases</w:t>
      </w:r>
      <w:r w:rsidR="00D15D1D" w:rsidRPr="003859B6">
        <w:t>,</w:t>
      </w:r>
      <w:r w:rsidRPr="003859B6">
        <w:t xml:space="preserve"> one licen</w:t>
      </w:r>
      <w:r w:rsidR="00467B7F" w:rsidRPr="003859B6">
        <w:t>c</w:t>
      </w:r>
      <w:r w:rsidRPr="003859B6">
        <w:t xml:space="preserve">e was being used by up to </w:t>
      </w:r>
      <w:r w:rsidR="00D15D1D" w:rsidRPr="003859B6">
        <w:t xml:space="preserve">ten </w:t>
      </w:r>
      <w:r w:rsidRPr="003859B6">
        <w:t>different vessels.</w:t>
      </w:r>
    </w:p>
    <w:p w:rsidR="00B02A67" w:rsidRPr="003859B6" w:rsidRDefault="00FD79EC" w:rsidP="00A16C97">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28</w:instrText>
      </w:r>
      <w:r w:rsidRPr="003859B6">
        <w:fldChar w:fldCharType="end"/>
      </w:r>
      <w:r w:rsidRPr="003859B6">
        <w:instrText>.</w:instrText>
      </w:r>
      <w:r w:rsidRPr="003859B6">
        <w:tab/>
      </w:r>
      <w:r w:rsidRPr="003859B6">
        <w:fldChar w:fldCharType="end"/>
      </w:r>
      <w:r w:rsidR="00B02A67" w:rsidRPr="003859B6">
        <w:t>In addition,</w:t>
      </w:r>
      <w:r w:rsidR="008802D0" w:rsidRPr="003859B6">
        <w:t xml:space="preserve"> the Taskforce found that smuggling and other illegal activities</w:t>
      </w:r>
      <w:r w:rsidR="006E2E6D" w:rsidRPr="003859B6">
        <w:t>, including</w:t>
      </w:r>
      <w:r w:rsidR="00A924E6" w:rsidRPr="003859B6">
        <w:t xml:space="preserve"> human rights</w:t>
      </w:r>
      <w:r w:rsidR="006E2E6D" w:rsidRPr="003859B6">
        <w:t xml:space="preserve"> abuses </w:t>
      </w:r>
      <w:r w:rsidR="00A924E6" w:rsidRPr="003859B6">
        <w:t>and trafficking</w:t>
      </w:r>
      <w:r w:rsidR="006E2E6D" w:rsidRPr="003859B6">
        <w:t>,</w:t>
      </w:r>
      <w:r w:rsidR="008802D0" w:rsidRPr="003859B6">
        <w:t xml:space="preserve"> occur</w:t>
      </w:r>
      <w:r w:rsidR="006E2E6D" w:rsidRPr="003859B6">
        <w:t>red</w:t>
      </w:r>
      <w:r w:rsidR="008802D0" w:rsidRPr="003859B6">
        <w:t xml:space="preserve"> </w:t>
      </w:r>
      <w:r w:rsidR="00F170A4" w:rsidRPr="003859B6">
        <w:t>regularly</w:t>
      </w:r>
      <w:r w:rsidR="008802D0" w:rsidRPr="003859B6">
        <w:t xml:space="preserve"> </w:t>
      </w:r>
      <w:r w:rsidR="00B02A67" w:rsidRPr="003859B6">
        <w:t>(</w:t>
      </w:r>
      <w:proofErr w:type="spellStart"/>
      <w:r w:rsidR="00B02A67" w:rsidRPr="003859B6">
        <w:t>Santosa</w:t>
      </w:r>
      <w:proofErr w:type="spellEnd"/>
      <w:r w:rsidR="007739EC" w:rsidRPr="003859B6">
        <w:t>,</w:t>
      </w:r>
      <w:r w:rsidR="00B02A67" w:rsidRPr="003859B6">
        <w:t xml:space="preserve"> 2016). A lack of compliance regarding logbook reporting was also noted</w:t>
      </w:r>
      <w:r w:rsidR="00D15D1D" w:rsidRPr="003859B6">
        <w:t xml:space="preserve"> –</w:t>
      </w:r>
      <w:r w:rsidR="00B02A67" w:rsidRPr="003859B6">
        <w:t xml:space="preserve"> with less than 5% of the 245 fish ports integrated with logbook information systems</w:t>
      </w:r>
      <w:r w:rsidR="00D15D1D" w:rsidRPr="003859B6">
        <w:t xml:space="preserve"> –</w:t>
      </w:r>
      <w:r w:rsidR="00B02A67" w:rsidRPr="003859B6">
        <w:t xml:space="preserve"> as well as </w:t>
      </w:r>
      <w:r w:rsidR="00D15D1D" w:rsidRPr="003859B6">
        <w:t xml:space="preserve">the </w:t>
      </w:r>
      <w:r w:rsidR="00B02A67" w:rsidRPr="003859B6">
        <w:t xml:space="preserve">use of non-designated fish landing ports to land catch in violation of fishing licence requirements. Many falsified data entries for fish capture were also found. </w:t>
      </w:r>
      <w:r w:rsidR="00BD7584" w:rsidRPr="003859B6">
        <w:t xml:space="preserve">On this basis, by August 2016, 236 vessels </w:t>
      </w:r>
      <w:r w:rsidR="008802D0" w:rsidRPr="003859B6">
        <w:t>were</w:t>
      </w:r>
      <w:r w:rsidR="00BD7584" w:rsidRPr="003859B6">
        <w:t xml:space="preserve"> seized and sunk, resulting in extensive media coverage.</w:t>
      </w:r>
      <w:r w:rsidR="00A16C97" w:rsidRPr="003859B6">
        <w:t xml:space="preserve"> </w:t>
      </w:r>
    </w:p>
    <w:p w:rsidR="00BD7584" w:rsidRPr="003859B6" w:rsidRDefault="00BD7584" w:rsidP="00BD758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29</w:instrText>
      </w:r>
      <w:r w:rsidRPr="003859B6">
        <w:fldChar w:fldCharType="end"/>
      </w:r>
      <w:r w:rsidRPr="003859B6">
        <w:instrText>.</w:instrText>
      </w:r>
      <w:r w:rsidRPr="003859B6">
        <w:tab/>
      </w:r>
      <w:r w:rsidRPr="003859B6">
        <w:fldChar w:fldCharType="end"/>
      </w:r>
      <w:r w:rsidRPr="003859B6">
        <w:t xml:space="preserve">  Furthermore, the Taskforce noted that </w:t>
      </w:r>
      <w:r w:rsidR="00A76F65" w:rsidRPr="003859B6">
        <w:t>government officials</w:t>
      </w:r>
      <w:r w:rsidR="000D404B" w:rsidRPr="003859B6">
        <w:t xml:space="preserve"> were limited in their ability</w:t>
      </w:r>
      <w:r w:rsidR="000D404B" w:rsidRPr="003859B6" w:rsidDel="00D15D1D">
        <w:t xml:space="preserve"> </w:t>
      </w:r>
      <w:r w:rsidRPr="003859B6">
        <w:t>to detect, respond and punish violations</w:t>
      </w:r>
      <w:r w:rsidR="000D404B" w:rsidRPr="003859B6">
        <w:t>, particularly</w:t>
      </w:r>
      <w:r w:rsidRPr="003859B6">
        <w:t xml:space="preserve"> due to a lack of </w:t>
      </w:r>
      <w:r w:rsidR="00A76F65" w:rsidRPr="003859B6">
        <w:t>vessel monitoring system (</w:t>
      </w:r>
      <w:r w:rsidRPr="003859B6">
        <w:t>VMS</w:t>
      </w:r>
      <w:r w:rsidR="00A76F65" w:rsidRPr="003859B6">
        <w:t>)</w:t>
      </w:r>
      <w:r w:rsidRPr="003859B6">
        <w:t xml:space="preserve"> transmitters, on-board observers and patrol boats t</w:t>
      </w:r>
      <w:r w:rsidR="000D404B" w:rsidRPr="003859B6">
        <w:t>hat</w:t>
      </w:r>
      <w:r w:rsidRPr="003859B6">
        <w:t xml:space="preserve"> cover</w:t>
      </w:r>
      <w:r w:rsidR="000D404B" w:rsidRPr="003859B6">
        <w:t>ed</w:t>
      </w:r>
      <w:r w:rsidRPr="003859B6">
        <w:t xml:space="preserve"> the EEZ. </w:t>
      </w:r>
      <w:r w:rsidR="000D404B" w:rsidRPr="003859B6">
        <w:t xml:space="preserve">Corruption meant that inspectors </w:t>
      </w:r>
      <w:r w:rsidRPr="003859B6">
        <w:t>could also too easily be dissuaded from registering problems, meaning that sanctions were not acting as a</w:t>
      </w:r>
      <w:r w:rsidR="007D69F0" w:rsidRPr="003859B6">
        <w:t>n effective</w:t>
      </w:r>
      <w:r w:rsidRPr="003859B6">
        <w:t xml:space="preserve"> deterrent. In addition, corporate criminal liability was rarely imposed</w:t>
      </w:r>
      <w:r w:rsidR="00D15D1D" w:rsidRPr="003859B6">
        <w:t>,</w:t>
      </w:r>
      <w:r w:rsidRPr="003859B6">
        <w:t xml:space="preserve"> and serious violations were subject only to administrative sanctions (</w:t>
      </w:r>
      <w:proofErr w:type="spellStart"/>
      <w:r w:rsidRPr="003859B6">
        <w:t>Santosa</w:t>
      </w:r>
      <w:proofErr w:type="spellEnd"/>
      <w:r w:rsidR="001E58D6" w:rsidRPr="003859B6">
        <w:t>,</w:t>
      </w:r>
      <w:r w:rsidRPr="003859B6">
        <w:t xml:space="preserve"> 2016). </w:t>
      </w:r>
    </w:p>
    <w:p w:rsidR="007D69F0" w:rsidRPr="003859B6" w:rsidRDefault="007D69F0"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30</w:instrText>
      </w:r>
      <w:r w:rsidRPr="003859B6">
        <w:fldChar w:fldCharType="end"/>
      </w:r>
      <w:r w:rsidRPr="003859B6">
        <w:instrText>.</w:instrText>
      </w:r>
      <w:r w:rsidRPr="003859B6">
        <w:tab/>
      </w:r>
      <w:r w:rsidRPr="003859B6">
        <w:fldChar w:fldCharType="end"/>
      </w:r>
      <w:r w:rsidR="00B02A67" w:rsidRPr="003859B6">
        <w:t>The Taskforce therefore concluded that post-landing regulations, such as those of the FAO Port State Measures Agreement, which Indonesia has ratified through Presidential Decree 43/2016, were not sufficient</w:t>
      </w:r>
      <w:r w:rsidR="00D15D1D" w:rsidRPr="003859B6">
        <w:t>,</w:t>
      </w:r>
      <w:r w:rsidR="00B02A67" w:rsidRPr="003859B6">
        <w:t xml:space="preserve"> as most illegal activities took place at sea. </w:t>
      </w:r>
    </w:p>
    <w:p w:rsidR="00F81DF0" w:rsidRPr="003859B6" w:rsidRDefault="007D69F0"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31</w:instrText>
      </w:r>
      <w:r w:rsidRPr="003859B6">
        <w:fldChar w:fldCharType="end"/>
      </w:r>
      <w:r w:rsidRPr="003859B6">
        <w:instrText>.</w:instrText>
      </w:r>
      <w:r w:rsidRPr="003859B6">
        <w:tab/>
      </w:r>
      <w:r w:rsidRPr="003859B6">
        <w:fldChar w:fldCharType="end"/>
      </w:r>
      <w:r w:rsidRPr="003859B6">
        <w:t>The Indonesian government has decided to re-authorise i</w:t>
      </w:r>
      <w:r w:rsidR="00F146DA" w:rsidRPr="003859B6">
        <w:t>ndustrial fishing</w:t>
      </w:r>
      <w:r w:rsidR="00467B7F" w:rsidRPr="003859B6">
        <w:t>,</w:t>
      </w:r>
      <w:r w:rsidR="00F146DA" w:rsidRPr="003859B6">
        <w:t xml:space="preserve"> but</w:t>
      </w:r>
      <w:r w:rsidR="00467B7F" w:rsidRPr="003859B6">
        <w:t xml:space="preserve"> –</w:t>
      </w:r>
      <w:r w:rsidR="00BF7997" w:rsidRPr="003859B6">
        <w:t xml:space="preserve"> in order to prevent IUU</w:t>
      </w:r>
      <w:r w:rsidR="00467B7F" w:rsidRPr="003859B6">
        <w:t xml:space="preserve"> – </w:t>
      </w:r>
      <w:r w:rsidR="00F146DA" w:rsidRPr="003859B6">
        <w:t>under more restrictive conditions</w:t>
      </w:r>
      <w:r w:rsidRPr="003859B6">
        <w:t xml:space="preserve"> than had been in place previously</w:t>
      </w:r>
      <w:r w:rsidR="00F146DA" w:rsidRPr="003859B6">
        <w:t>. First, Regulation 57/2014 prohibits all transhipment at sea. Second, since December 2015, all boats above 30 GT have to use VMS (Ministerial Regulation 23/2014)</w:t>
      </w:r>
      <w:r w:rsidR="009A0972" w:rsidRPr="003859B6">
        <w:t>,</w:t>
      </w:r>
      <w:r w:rsidR="00F146DA" w:rsidRPr="003859B6">
        <w:t xml:space="preserve"> and VMS data is shared with Global Fishing Watch, a data-processing system developed in partnership by Google, </w:t>
      </w:r>
      <w:proofErr w:type="spellStart"/>
      <w:r w:rsidR="00F146DA" w:rsidRPr="003859B6">
        <w:t>SkyTruth</w:t>
      </w:r>
      <w:proofErr w:type="spellEnd"/>
      <w:r w:rsidR="00F146DA" w:rsidRPr="003859B6">
        <w:t xml:space="preserve"> and </w:t>
      </w:r>
      <w:proofErr w:type="spellStart"/>
      <w:r w:rsidR="00F146DA" w:rsidRPr="003859B6">
        <w:t>Oceana</w:t>
      </w:r>
      <w:proofErr w:type="spellEnd"/>
      <w:r w:rsidR="00F146DA" w:rsidRPr="003859B6">
        <w:t xml:space="preserve">, which will help </w:t>
      </w:r>
      <w:r w:rsidR="00467B7F" w:rsidRPr="003859B6">
        <w:t xml:space="preserve">to </w:t>
      </w:r>
      <w:r w:rsidR="00F146DA" w:rsidRPr="003859B6">
        <w:t xml:space="preserve">monitor commercial fishing activity (and make information public). Third, </w:t>
      </w:r>
      <w:r w:rsidR="00B02A67" w:rsidRPr="003859B6">
        <w:t xml:space="preserve">MMAF is working to improve the vessel registration and fisheries </w:t>
      </w:r>
      <w:r w:rsidR="00467B7F" w:rsidRPr="003859B6">
        <w:t xml:space="preserve">licence </w:t>
      </w:r>
      <w:r w:rsidR="00B02A67" w:rsidRPr="003859B6">
        <w:t xml:space="preserve">system </w:t>
      </w:r>
      <w:r w:rsidR="00F146DA" w:rsidRPr="003859B6">
        <w:t xml:space="preserve">(Ministerial Regulation 30/2012 is </w:t>
      </w:r>
      <w:r w:rsidR="00467B7F" w:rsidRPr="003859B6">
        <w:t xml:space="preserve">currently </w:t>
      </w:r>
      <w:r w:rsidR="00F146DA" w:rsidRPr="003859B6">
        <w:t>being revised)</w:t>
      </w:r>
      <w:r w:rsidR="00467B7F" w:rsidRPr="003859B6">
        <w:t>,</w:t>
      </w:r>
      <w:r w:rsidR="00F146DA" w:rsidRPr="003859B6">
        <w:t xml:space="preserve"> while</w:t>
      </w:r>
      <w:r w:rsidR="00B02A67" w:rsidRPr="003859B6">
        <w:t xml:space="preserve"> improving catch reporting documentation. </w:t>
      </w:r>
      <w:r w:rsidR="00EB4E58" w:rsidRPr="003859B6">
        <w:t xml:space="preserve">With the new regulation in preparation, </w:t>
      </w:r>
      <w:r w:rsidR="00467B7F" w:rsidRPr="003859B6">
        <w:t xml:space="preserve">licences </w:t>
      </w:r>
      <w:r w:rsidR="00EB4E58" w:rsidRPr="003859B6">
        <w:t xml:space="preserve">will be delivered to domestically-built vessels </w:t>
      </w:r>
      <w:r w:rsidR="00467B7F" w:rsidRPr="003859B6">
        <w:t xml:space="preserve">of </w:t>
      </w:r>
      <w:r w:rsidR="00EB4E58" w:rsidRPr="003859B6">
        <w:t xml:space="preserve">up to 200 GT, for one-year, after a due-diligence procedure. </w:t>
      </w:r>
    </w:p>
    <w:p w:rsidR="00B02A67" w:rsidRPr="003859B6" w:rsidRDefault="00F81DF0"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32</w:instrText>
      </w:r>
      <w:r w:rsidRPr="003859B6">
        <w:fldChar w:fldCharType="end"/>
      </w:r>
      <w:r w:rsidRPr="003859B6">
        <w:instrText>.</w:instrText>
      </w:r>
      <w:r w:rsidRPr="003859B6">
        <w:tab/>
      </w:r>
      <w:r w:rsidRPr="003859B6">
        <w:fldChar w:fldCharType="end"/>
      </w:r>
      <w:r w:rsidRPr="003859B6">
        <w:t xml:space="preserve"> According to Minister </w:t>
      </w:r>
      <w:proofErr w:type="spellStart"/>
      <w:r w:rsidRPr="003859B6">
        <w:t>Pujiastuti</w:t>
      </w:r>
      <w:proofErr w:type="spellEnd"/>
      <w:r w:rsidRPr="003859B6">
        <w:t xml:space="preserve">, the </w:t>
      </w:r>
      <w:r w:rsidR="009A0972" w:rsidRPr="003859B6">
        <w:t>establishment</w:t>
      </w:r>
      <w:r w:rsidRPr="003859B6">
        <w:t xml:space="preserve"> of a “one-roof” enforcement system, with the creation of </w:t>
      </w:r>
      <w:r w:rsidR="00064AE0" w:rsidRPr="003859B6">
        <w:t xml:space="preserve">the </w:t>
      </w:r>
      <w:r w:rsidRPr="003859B6">
        <w:t>Taskforce, backed up by strong political will from the President as well as a strong communication</w:t>
      </w:r>
      <w:r w:rsidR="007D69F0" w:rsidRPr="003859B6">
        <w:t>s</w:t>
      </w:r>
      <w:r w:rsidRPr="003859B6">
        <w:t xml:space="preserve"> strategy</w:t>
      </w:r>
      <w:r w:rsidR="009A0972" w:rsidRPr="003859B6">
        <w:t>,</w:t>
      </w:r>
      <w:r w:rsidRPr="003859B6">
        <w:t xml:space="preserve"> have proved decisive in tackling the corruption that pervaded the sector and the political system</w:t>
      </w:r>
      <w:r w:rsidR="00064AE0" w:rsidRPr="003859B6">
        <w:t xml:space="preserve">, </w:t>
      </w:r>
      <w:r w:rsidR="00872F65" w:rsidRPr="003859B6">
        <w:t>and</w:t>
      </w:r>
      <w:r w:rsidRPr="003859B6" w:rsidDel="00064AE0">
        <w:t xml:space="preserve"> </w:t>
      </w:r>
      <w:r w:rsidRPr="003859B6">
        <w:t>allow</w:t>
      </w:r>
      <w:r w:rsidR="00064AE0" w:rsidRPr="003859B6">
        <w:t>ing the</w:t>
      </w:r>
      <w:r w:rsidRPr="003859B6">
        <w:t xml:space="preserve"> adoption of policies that effectively closed Indonesian seas to a significant section of the fleet. </w:t>
      </w:r>
    </w:p>
    <w:p w:rsidR="00B02A67" w:rsidRPr="003859B6" w:rsidRDefault="00730FF4"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33</w:instrText>
      </w:r>
      <w:r w:rsidRPr="003859B6">
        <w:fldChar w:fldCharType="end"/>
      </w:r>
      <w:r w:rsidRPr="003859B6">
        <w:instrText>.</w:instrText>
      </w:r>
      <w:r w:rsidRPr="003859B6">
        <w:tab/>
      </w:r>
      <w:r w:rsidRPr="003859B6">
        <w:fldChar w:fldCharType="end"/>
      </w:r>
      <w:r w:rsidR="00B02A67" w:rsidRPr="003859B6">
        <w:t xml:space="preserve">The government’s efforts have </w:t>
      </w:r>
      <w:r w:rsidR="001063A3" w:rsidRPr="003859B6">
        <w:t>been successful at making</w:t>
      </w:r>
      <w:r w:rsidR="00B02A67" w:rsidRPr="003859B6">
        <w:t xml:space="preserve"> illegal fishing an inherently riskier activity in Indonesia</w:t>
      </w:r>
      <w:r w:rsidR="00872F65" w:rsidRPr="003859B6">
        <w:t>,</w:t>
      </w:r>
      <w:r w:rsidR="001063A3" w:rsidRPr="003859B6">
        <w:t xml:space="preserve"> but </w:t>
      </w:r>
      <w:r w:rsidR="00363BAE" w:rsidRPr="003859B6">
        <w:t xml:space="preserve">the impact on food security remains </w:t>
      </w:r>
      <w:r w:rsidR="00E44E5A" w:rsidRPr="003859B6">
        <w:t>uncertain</w:t>
      </w:r>
      <w:r w:rsidR="00B02A67" w:rsidRPr="003859B6">
        <w:t xml:space="preserve">. Neighbouring countries are considering </w:t>
      </w:r>
      <w:r w:rsidR="001063A3" w:rsidRPr="003859B6">
        <w:t>implementing</w:t>
      </w:r>
      <w:r w:rsidR="00B02A67" w:rsidRPr="003859B6">
        <w:t xml:space="preserve"> similar policies</w:t>
      </w:r>
      <w:r w:rsidR="00E44E5A" w:rsidRPr="003859B6">
        <w:t xml:space="preserve"> </w:t>
      </w:r>
      <w:r w:rsidR="00B02A67" w:rsidRPr="003859B6">
        <w:t xml:space="preserve">because illegal fishers have relocated their activities to their waters after leaving Indonesian waters. The actual extent of progress is, however, still difficult to estimate. </w:t>
      </w:r>
      <w:r w:rsidR="001063A3" w:rsidRPr="003859B6">
        <w:t>J</w:t>
      </w:r>
      <w:r w:rsidR="00B02A67" w:rsidRPr="003859B6">
        <w:t xml:space="preserve">oint work between the </w:t>
      </w:r>
      <w:r w:rsidR="001063A3" w:rsidRPr="003859B6">
        <w:t>s</w:t>
      </w:r>
      <w:r w:rsidR="00B02A67" w:rsidRPr="003859B6">
        <w:t>ustainable fisheries group at UC Santa Barbara and MMAF estimates that the measures taken in 2015 led to a reduction of fishing effort of about 35%. However, this effort is believed to have</w:t>
      </w:r>
      <w:r w:rsidR="00872F65" w:rsidRPr="003859B6">
        <w:t xml:space="preserve"> since</w:t>
      </w:r>
      <w:r w:rsidR="00B02A67" w:rsidRPr="003859B6">
        <w:t xml:space="preserve"> started to recover (</w:t>
      </w:r>
      <w:r w:rsidR="002D7B8A" w:rsidRPr="003859B6">
        <w:t>MMAF</w:t>
      </w:r>
      <w:r w:rsidR="00B02A67" w:rsidRPr="003859B6">
        <w:t xml:space="preserve">, 2016).  Minister </w:t>
      </w:r>
      <w:proofErr w:type="spellStart"/>
      <w:r w:rsidR="00B02A67" w:rsidRPr="003859B6">
        <w:t>Pujiastuti</w:t>
      </w:r>
      <w:proofErr w:type="spellEnd"/>
      <w:r w:rsidR="00B02A67" w:rsidRPr="003859B6">
        <w:t xml:space="preserve"> often refers to anecdotal indications that </w:t>
      </w:r>
      <w:r w:rsidR="0097262D" w:rsidRPr="003859B6">
        <w:t xml:space="preserve">the </w:t>
      </w:r>
      <w:r w:rsidR="00B02A67" w:rsidRPr="003859B6">
        <w:t>availability and size of fish caught by artisanal fishers has increased</w:t>
      </w:r>
      <w:r w:rsidR="00363BAE" w:rsidRPr="003859B6">
        <w:t xml:space="preserve"> that</w:t>
      </w:r>
      <w:r w:rsidR="00B02A67" w:rsidRPr="003859B6">
        <w:t xml:space="preserve"> suggest that stock health and fish availability is improving</w:t>
      </w:r>
      <w:r w:rsidR="00363BAE" w:rsidRPr="003859B6">
        <w:t xml:space="preserve"> for the</w:t>
      </w:r>
      <w:r w:rsidR="0097262D" w:rsidRPr="003859B6">
        <w:t>se producers</w:t>
      </w:r>
      <w:r w:rsidR="00B02A67" w:rsidRPr="003859B6">
        <w:t>. Evidence is still scarce to support these assertions</w:t>
      </w:r>
      <w:r w:rsidR="0097262D" w:rsidRPr="003859B6">
        <w:t>,</w:t>
      </w:r>
      <w:r w:rsidR="00B02A67" w:rsidRPr="003859B6">
        <w:t xml:space="preserve"> but simulations </w:t>
      </w:r>
      <w:r w:rsidR="0097262D" w:rsidRPr="003859B6">
        <w:t xml:space="preserve">indicate that </w:t>
      </w:r>
      <w:r w:rsidR="00B02A67" w:rsidRPr="003859B6">
        <w:t xml:space="preserve">there is potential. Catch of skipjack tuna could, for example, increase by 25% by 2035, if policies against IUU </w:t>
      </w:r>
      <w:r w:rsidR="009F0ADF" w:rsidRPr="003859B6">
        <w:t xml:space="preserve">fishing </w:t>
      </w:r>
      <w:r w:rsidR="00B02A67" w:rsidRPr="003859B6">
        <w:t xml:space="preserve">were efficient and coupled </w:t>
      </w:r>
      <w:r w:rsidR="0097262D" w:rsidRPr="003859B6">
        <w:t xml:space="preserve">with </w:t>
      </w:r>
      <w:r w:rsidR="00B02A67" w:rsidRPr="003859B6">
        <w:t xml:space="preserve">effective management of domestic fisheries, compared </w:t>
      </w:r>
      <w:r w:rsidR="0097262D" w:rsidRPr="003859B6">
        <w:t>with</w:t>
      </w:r>
      <w:r w:rsidR="00B02A67" w:rsidRPr="003859B6">
        <w:t xml:space="preserve"> a</w:t>
      </w:r>
      <w:r w:rsidR="00363BAE" w:rsidRPr="003859B6">
        <w:t>n expected</w:t>
      </w:r>
      <w:r w:rsidR="00872F65" w:rsidRPr="003859B6">
        <w:t xml:space="preserve"> </w:t>
      </w:r>
      <w:r w:rsidR="00B02A67" w:rsidRPr="003859B6">
        <w:rPr>
          <w:i/>
        </w:rPr>
        <w:t>decrease</w:t>
      </w:r>
      <w:r w:rsidR="00B02A67" w:rsidRPr="003859B6">
        <w:t xml:space="preserve"> by 81% in the </w:t>
      </w:r>
      <w:r w:rsidR="0097262D" w:rsidRPr="003859B6">
        <w:t>absence of such measures</w:t>
      </w:r>
      <w:r w:rsidR="00B02A67" w:rsidRPr="003859B6">
        <w:t xml:space="preserve"> (</w:t>
      </w:r>
      <w:r w:rsidR="002D7B8A" w:rsidRPr="003859B6">
        <w:t>MMAF</w:t>
      </w:r>
      <w:r w:rsidR="00B02A67" w:rsidRPr="003859B6">
        <w:t xml:space="preserve">, 2016). </w:t>
      </w:r>
    </w:p>
    <w:p w:rsidR="00B02A67" w:rsidRPr="003859B6" w:rsidRDefault="00730FF4"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34</w:instrText>
      </w:r>
      <w:r w:rsidRPr="003859B6">
        <w:fldChar w:fldCharType="end"/>
      </w:r>
      <w:r w:rsidRPr="003859B6">
        <w:instrText>.</w:instrText>
      </w:r>
      <w:r w:rsidRPr="003859B6">
        <w:tab/>
      </w:r>
      <w:r w:rsidRPr="003859B6">
        <w:fldChar w:fldCharType="end"/>
      </w:r>
      <w:r w:rsidR="0025599A" w:rsidRPr="003859B6">
        <w:t xml:space="preserve">While the </w:t>
      </w:r>
      <w:r w:rsidR="00E44E5A" w:rsidRPr="003859B6">
        <w:t xml:space="preserve">continued fight against </w:t>
      </w:r>
      <w:r w:rsidR="00363BAE" w:rsidRPr="003859B6">
        <w:t xml:space="preserve">IUU </w:t>
      </w:r>
      <w:r w:rsidR="009F0ADF" w:rsidRPr="003859B6">
        <w:t xml:space="preserve">fishing </w:t>
      </w:r>
      <w:r w:rsidR="00363BAE" w:rsidRPr="003859B6">
        <w:t>is likely to be more effective at protecting those Indonesian fisheries more often exploited by</w:t>
      </w:r>
      <w:r w:rsidR="00A92947" w:rsidRPr="003859B6">
        <w:t xml:space="preserve"> industrial boats</w:t>
      </w:r>
      <w:r w:rsidR="00E44E5A" w:rsidRPr="003859B6">
        <w:t>,</w:t>
      </w:r>
      <w:r w:rsidR="0025599A" w:rsidRPr="003859B6">
        <w:t xml:space="preserve"> </w:t>
      </w:r>
      <w:r w:rsidR="00E44E5A" w:rsidRPr="003859B6">
        <w:t>d</w:t>
      </w:r>
      <w:r w:rsidR="00A92947" w:rsidRPr="003859B6">
        <w:t xml:space="preserve">omestic artisanal fisheries </w:t>
      </w:r>
      <w:r w:rsidR="00E44E5A" w:rsidRPr="003859B6">
        <w:t>will</w:t>
      </w:r>
      <w:r w:rsidR="00A92947" w:rsidRPr="003859B6">
        <w:t xml:space="preserve"> need to be better monitored and regulated to ensure the sustainability of a broader range of fisheries. </w:t>
      </w:r>
      <w:r w:rsidR="00363BAE" w:rsidRPr="003859B6">
        <w:t>T</w:t>
      </w:r>
      <w:r w:rsidR="00B02A67" w:rsidRPr="003859B6">
        <w:t xml:space="preserve">he direct link drawn between a decrease in IUU </w:t>
      </w:r>
      <w:r w:rsidR="009F0ADF" w:rsidRPr="003859B6">
        <w:t xml:space="preserve">fishing </w:t>
      </w:r>
      <w:r w:rsidR="00B02A67" w:rsidRPr="003859B6">
        <w:t xml:space="preserve">activities and </w:t>
      </w:r>
      <w:r w:rsidR="00A7452C" w:rsidRPr="003859B6">
        <w:t xml:space="preserve">the </w:t>
      </w:r>
      <w:r w:rsidR="00B02A67" w:rsidRPr="003859B6">
        <w:t xml:space="preserve">increased availability of fish for artisanal fishers in coastal areas may </w:t>
      </w:r>
      <w:r w:rsidR="00F170A4" w:rsidRPr="003859B6">
        <w:t xml:space="preserve">indeed </w:t>
      </w:r>
      <w:r w:rsidR="00B02A67" w:rsidRPr="003859B6">
        <w:t>only be true for certain species. Coastal and territorial waters are connected</w:t>
      </w:r>
      <w:r w:rsidR="002344FF" w:rsidRPr="003859B6">
        <w:t>,</w:t>
      </w:r>
      <w:r w:rsidR="00B02A67" w:rsidRPr="003859B6">
        <w:t xml:space="preserve"> and some species, like shrimp, spawn in the deep sea but are caught in coastal waters</w:t>
      </w:r>
      <w:r w:rsidR="008462EA" w:rsidRPr="003859B6">
        <w:t xml:space="preserve"> by both artisanal and industrial vessels</w:t>
      </w:r>
      <w:r w:rsidR="00B02A67" w:rsidRPr="003859B6">
        <w:t>. However, tuna</w:t>
      </w:r>
      <w:r w:rsidR="002344FF" w:rsidRPr="003859B6">
        <w:t>,</w:t>
      </w:r>
      <w:r w:rsidR="00B02A67" w:rsidRPr="003859B6">
        <w:t xml:space="preserve"> for example, spawns in Indonesian archipelagic waters before migrating to the Pacific</w:t>
      </w:r>
      <w:r w:rsidR="002344FF" w:rsidRPr="003859B6">
        <w:t>,</w:t>
      </w:r>
      <w:r w:rsidR="00B02A67" w:rsidRPr="003859B6">
        <w:t xml:space="preserve"> where they are caught by industrial </w:t>
      </w:r>
      <w:r w:rsidR="008462EA" w:rsidRPr="003859B6">
        <w:t>ships</w:t>
      </w:r>
      <w:r w:rsidR="00B02A67" w:rsidRPr="003859B6">
        <w:t xml:space="preserve">. Reef fish such as groupers and snappers, which are </w:t>
      </w:r>
      <w:r w:rsidR="008462EA" w:rsidRPr="003859B6">
        <w:t xml:space="preserve">mainly </w:t>
      </w:r>
      <w:r w:rsidR="00B02A67" w:rsidRPr="003859B6">
        <w:t xml:space="preserve">caught by small-scale boats, stay in archipelagic waters and do not </w:t>
      </w:r>
      <w:r w:rsidR="002344FF" w:rsidRPr="003859B6">
        <w:t xml:space="preserve">swim </w:t>
      </w:r>
      <w:r w:rsidR="00B02A67" w:rsidRPr="003859B6">
        <w:t xml:space="preserve">beyond a few kilometres of the shore. Reef fish stock health and </w:t>
      </w:r>
      <w:r w:rsidR="002344FF" w:rsidRPr="003859B6">
        <w:t xml:space="preserve">the </w:t>
      </w:r>
      <w:r w:rsidR="00B02A67" w:rsidRPr="003859B6">
        <w:t xml:space="preserve">availability of large tunas in coastal waters are thus </w:t>
      </w:r>
      <w:r w:rsidR="002344FF" w:rsidRPr="003859B6">
        <w:t>un</w:t>
      </w:r>
      <w:r w:rsidR="00B02A67" w:rsidRPr="003859B6">
        <w:t xml:space="preserve">likely to </w:t>
      </w:r>
      <w:r w:rsidR="002344FF" w:rsidRPr="003859B6">
        <w:t xml:space="preserve">substantially </w:t>
      </w:r>
      <w:r w:rsidR="00B02A67" w:rsidRPr="003859B6">
        <w:t xml:space="preserve">increase with the measures taken </w:t>
      </w:r>
      <w:r w:rsidR="008462EA" w:rsidRPr="003859B6">
        <w:t>to abolish industrial illegal fishing</w:t>
      </w:r>
      <w:r w:rsidR="00B02A67" w:rsidRPr="003859B6">
        <w:t xml:space="preserve">. </w:t>
      </w:r>
    </w:p>
    <w:p w:rsidR="00B02A67" w:rsidRPr="003859B6" w:rsidRDefault="006D137E" w:rsidP="00730FF4">
      <w:pPr>
        <w:pStyle w:val="Heading3"/>
      </w:pPr>
      <w:bookmarkStart w:id="61" w:name="_Toc472954975"/>
      <w:bookmarkStart w:id="62" w:name="_Toc472354581"/>
      <w:bookmarkStart w:id="63" w:name="_Toc474487631"/>
      <w:r w:rsidRPr="003859B6">
        <w:t>Strengthening domestic fisheries</w:t>
      </w:r>
      <w:bookmarkEnd w:id="61"/>
      <w:r w:rsidR="002344FF" w:rsidRPr="003859B6">
        <w:t xml:space="preserve"> management</w:t>
      </w:r>
      <w:bookmarkEnd w:id="62"/>
      <w:bookmarkEnd w:id="63"/>
    </w:p>
    <w:p w:rsidR="00B02A67" w:rsidRPr="003859B6" w:rsidRDefault="005A7776" w:rsidP="00730FF4">
      <w:pPr>
        <w:pStyle w:val="Heading4"/>
      </w:pPr>
      <w:r w:rsidRPr="003859B6">
        <w:t xml:space="preserve">An overly open </w:t>
      </w:r>
      <w:r w:rsidR="00285809" w:rsidRPr="003859B6">
        <w:t>existing management system</w:t>
      </w:r>
    </w:p>
    <w:p w:rsidR="00241D62" w:rsidRPr="003859B6" w:rsidRDefault="00241D62" w:rsidP="00E44E5A">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35</w:instrText>
      </w:r>
      <w:r w:rsidRPr="003859B6">
        <w:fldChar w:fldCharType="end"/>
      </w:r>
      <w:r w:rsidRPr="003859B6">
        <w:instrText>.</w:instrText>
      </w:r>
      <w:r w:rsidRPr="003859B6">
        <w:tab/>
      </w:r>
      <w:r w:rsidRPr="003859B6">
        <w:fldChar w:fldCharType="end"/>
      </w:r>
      <w:r w:rsidR="00E44E5A" w:rsidRPr="003859B6">
        <w:t xml:space="preserve">The current system of controls </w:t>
      </w:r>
      <w:r w:rsidR="0082606B" w:rsidRPr="003859B6">
        <w:t xml:space="preserve">in effect permits </w:t>
      </w:r>
      <w:r w:rsidR="00A41869" w:rsidRPr="003859B6">
        <w:t xml:space="preserve">relatively </w:t>
      </w:r>
      <w:r w:rsidR="0082606B" w:rsidRPr="003859B6">
        <w:t>open access to Indonesia’s fisheries</w:t>
      </w:r>
      <w:r w:rsidR="002344FF" w:rsidRPr="003859B6">
        <w:t>,</w:t>
      </w:r>
      <w:r w:rsidR="0082606B" w:rsidRPr="003859B6">
        <w:t xml:space="preserve"> and will need to be </w:t>
      </w:r>
      <w:r w:rsidR="0066412A" w:rsidRPr="003859B6">
        <w:t>strengthened</w:t>
      </w:r>
      <w:r w:rsidR="0082606B" w:rsidRPr="003859B6">
        <w:t>.</w:t>
      </w:r>
      <w:r w:rsidR="00A41869" w:rsidRPr="003859B6">
        <w:t xml:space="preserve"> </w:t>
      </w:r>
      <w:r w:rsidR="00457E02" w:rsidRPr="003859B6">
        <w:t xml:space="preserve">The Indonesian government recognises that the existing framework is insufficient for the sustainable management of </w:t>
      </w:r>
      <w:r w:rsidR="002618D4" w:rsidRPr="003859B6">
        <w:t xml:space="preserve">domestic </w:t>
      </w:r>
      <w:r w:rsidR="00457E02" w:rsidRPr="003859B6">
        <w:t xml:space="preserve">fisheries. Minister </w:t>
      </w:r>
      <w:proofErr w:type="spellStart"/>
      <w:r w:rsidR="00457E02" w:rsidRPr="003859B6">
        <w:t>Pujiastuti</w:t>
      </w:r>
      <w:proofErr w:type="spellEnd"/>
      <w:r w:rsidR="00457E02" w:rsidRPr="003859B6">
        <w:t xml:space="preserve"> </w:t>
      </w:r>
      <w:r w:rsidR="002618D4" w:rsidRPr="003859B6">
        <w:t xml:space="preserve">has </w:t>
      </w:r>
      <w:r w:rsidR="00457E02" w:rsidRPr="003859B6">
        <w:t>announced that the fight against illegal fishing was only a first step</w:t>
      </w:r>
      <w:r w:rsidR="0093766F" w:rsidRPr="003859B6">
        <w:t>,</w:t>
      </w:r>
      <w:r w:rsidR="00457E02" w:rsidRPr="003859B6">
        <w:t xml:space="preserve"> and </w:t>
      </w:r>
      <w:r w:rsidR="002618D4" w:rsidRPr="003859B6">
        <w:t xml:space="preserve">that </w:t>
      </w:r>
      <w:r w:rsidR="00457E02" w:rsidRPr="003859B6">
        <w:t xml:space="preserve">the </w:t>
      </w:r>
      <w:r w:rsidR="008B1C89" w:rsidRPr="003859B6">
        <w:t xml:space="preserve">government </w:t>
      </w:r>
      <w:r w:rsidR="00457E02" w:rsidRPr="003859B6">
        <w:t>now needs to tackle the politically and practically more difficult challenge of addressing unreported and unregulated fishing.</w:t>
      </w:r>
    </w:p>
    <w:p w:rsidR="00581E54" w:rsidRPr="003859B6" w:rsidRDefault="00581E54" w:rsidP="00E44E5A">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36</w:instrText>
      </w:r>
      <w:r w:rsidRPr="003859B6">
        <w:fldChar w:fldCharType="end"/>
      </w:r>
      <w:r w:rsidRPr="003859B6">
        <w:instrText>.</w:instrText>
      </w:r>
      <w:r w:rsidRPr="003859B6">
        <w:tab/>
      </w:r>
      <w:r w:rsidRPr="003859B6">
        <w:fldChar w:fldCharType="end"/>
      </w:r>
      <w:r w:rsidR="002809AB" w:rsidRPr="003859B6">
        <w:t xml:space="preserve"> The </w:t>
      </w:r>
      <w:r w:rsidR="005A7776" w:rsidRPr="003859B6">
        <w:t>controls on fishing activities in Indonesia are insufficient</w:t>
      </w:r>
      <w:r w:rsidR="00817447" w:rsidRPr="003859B6">
        <w:t>,</w:t>
      </w:r>
      <w:r w:rsidR="005A7776" w:rsidRPr="003859B6">
        <w:t xml:space="preserve"> </w:t>
      </w:r>
      <w:r w:rsidR="002809AB" w:rsidRPr="003859B6">
        <w:t>main</w:t>
      </w:r>
      <w:r w:rsidR="005A7776" w:rsidRPr="003859B6">
        <w:t>ly</w:t>
      </w:r>
      <w:r w:rsidR="002809AB" w:rsidRPr="003859B6">
        <w:t xml:space="preserve"> </w:t>
      </w:r>
      <w:r w:rsidR="00817447" w:rsidRPr="003859B6">
        <w:t xml:space="preserve">relating </w:t>
      </w:r>
      <w:r w:rsidR="002809AB" w:rsidRPr="003859B6">
        <w:t xml:space="preserve">to the granting of </w:t>
      </w:r>
      <w:r w:rsidR="00467B7F" w:rsidRPr="003859B6">
        <w:t xml:space="preserve">licences </w:t>
      </w:r>
      <w:r w:rsidR="002809AB" w:rsidRPr="003859B6">
        <w:t xml:space="preserve">to fishing vessels and to restrictions placed on fishing practices, such as fishing seasons or minimum size requirements. </w:t>
      </w:r>
      <w:r w:rsidR="00226862" w:rsidRPr="003859B6">
        <w:t>This i</w:t>
      </w:r>
      <w:r w:rsidRPr="003859B6">
        <w:t xml:space="preserve">nsufficient regulation of fishing activities </w:t>
      </w:r>
      <w:r w:rsidR="00806A16" w:rsidRPr="003859B6">
        <w:t xml:space="preserve">is </w:t>
      </w:r>
      <w:r w:rsidR="002809AB" w:rsidRPr="003859B6">
        <w:t>both</w:t>
      </w:r>
      <w:r w:rsidR="002809AB" w:rsidRPr="003859B6" w:rsidDel="00806A16">
        <w:t xml:space="preserve"> </w:t>
      </w:r>
      <w:r w:rsidR="00806A16" w:rsidRPr="003859B6">
        <w:t xml:space="preserve">due to </w:t>
      </w:r>
      <w:r w:rsidR="002809AB" w:rsidRPr="003859B6">
        <w:t>the fact that</w:t>
      </w:r>
      <w:r w:rsidRPr="003859B6">
        <w:t xml:space="preserve"> </w:t>
      </w:r>
      <w:r w:rsidR="00806A16" w:rsidRPr="003859B6">
        <w:t xml:space="preserve">a) </w:t>
      </w:r>
      <w:r w:rsidRPr="003859B6">
        <w:t>a large share of the artisanal fleet is not subject to any control and monitoring</w:t>
      </w:r>
      <w:r w:rsidR="0093766F" w:rsidRPr="003859B6">
        <w:t xml:space="preserve">, </w:t>
      </w:r>
      <w:r w:rsidR="002809AB" w:rsidRPr="003859B6">
        <w:t xml:space="preserve">and </w:t>
      </w:r>
      <w:r w:rsidR="00806A16" w:rsidRPr="003859B6">
        <w:t>b)</w:t>
      </w:r>
      <w:r w:rsidR="002809AB" w:rsidRPr="003859B6">
        <w:t xml:space="preserve"> </w:t>
      </w:r>
      <w:r w:rsidRPr="003859B6">
        <w:t>the types of restriction</w:t>
      </w:r>
      <w:r w:rsidR="00806A16" w:rsidRPr="003859B6">
        <w:t>s</w:t>
      </w:r>
      <w:r w:rsidRPr="003859B6">
        <w:t xml:space="preserve"> used to manage the fleet under licen</w:t>
      </w:r>
      <w:r w:rsidR="00467B7F" w:rsidRPr="003859B6">
        <w:t>c</w:t>
      </w:r>
      <w:r w:rsidRPr="003859B6">
        <w:t xml:space="preserve">e are not appropriate to ensure </w:t>
      </w:r>
      <w:r w:rsidR="00226862" w:rsidRPr="003859B6">
        <w:t xml:space="preserve">the </w:t>
      </w:r>
      <w:r w:rsidRPr="003859B6">
        <w:t xml:space="preserve">sustainable management of fisheries. </w:t>
      </w:r>
    </w:p>
    <w:p w:rsidR="000D3D41" w:rsidRPr="003859B6" w:rsidRDefault="00581E54" w:rsidP="00806880">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37</w:instrText>
      </w:r>
      <w:r w:rsidRPr="003859B6">
        <w:fldChar w:fldCharType="end"/>
      </w:r>
      <w:r w:rsidRPr="003859B6">
        <w:instrText>.</w:instrText>
      </w:r>
      <w:r w:rsidRPr="003859B6">
        <w:tab/>
      </w:r>
      <w:r w:rsidRPr="003859B6">
        <w:fldChar w:fldCharType="end"/>
      </w:r>
      <w:r w:rsidRPr="003859B6">
        <w:t>Natural resources are managed jointly by the central government, the provinces and districts. Since the adoption of Law No 23/2014 on local governance, responsibilities for resource management have been decentralised according to geography and types of operations. MMAF is directly responsible for managing archipelagic and EEZ water resources, the 33 provincial authorities manage territorial water resources</w:t>
      </w:r>
      <w:r w:rsidR="002E5233" w:rsidRPr="003859B6">
        <w:t>,</w:t>
      </w:r>
      <w:r w:rsidRPr="003859B6">
        <w:t xml:space="preserve"> and the 250 district authorities manage coastal resources within 4 miles of the coast.</w:t>
      </w:r>
      <w:r w:rsidR="0082606B" w:rsidRPr="003859B6">
        <w:t xml:space="preserve"> With respect to </w:t>
      </w:r>
      <w:r w:rsidR="00A41869" w:rsidRPr="003859B6">
        <w:t xml:space="preserve">boat </w:t>
      </w:r>
      <w:r w:rsidR="00467B7F" w:rsidRPr="003859B6">
        <w:t>licences</w:t>
      </w:r>
      <w:r w:rsidR="0082606B" w:rsidRPr="003859B6">
        <w:t xml:space="preserve">, vessels between 5 and 30 GT can </w:t>
      </w:r>
      <w:r w:rsidR="00715F39" w:rsidRPr="003859B6">
        <w:t xml:space="preserve">thus </w:t>
      </w:r>
      <w:r w:rsidR="0082606B" w:rsidRPr="003859B6">
        <w:t>obtain a licen</w:t>
      </w:r>
      <w:r w:rsidR="00467B7F" w:rsidRPr="003859B6">
        <w:t>c</w:t>
      </w:r>
      <w:r w:rsidR="0082606B" w:rsidRPr="003859B6">
        <w:t>e from provincial authorities</w:t>
      </w:r>
      <w:r w:rsidR="002E5233" w:rsidRPr="003859B6">
        <w:t>,</w:t>
      </w:r>
      <w:r w:rsidR="0082606B" w:rsidRPr="003859B6">
        <w:t xml:space="preserve"> while those of more than 30 GT and ex-foreign vessels of any size require a </w:t>
      </w:r>
      <w:r w:rsidR="00467B7F" w:rsidRPr="003859B6">
        <w:t xml:space="preserve">licence </w:t>
      </w:r>
      <w:r w:rsidR="0082606B" w:rsidRPr="003859B6">
        <w:t>issued by the central government (the latter will no</w:t>
      </w:r>
      <w:r w:rsidR="002E5233" w:rsidRPr="003859B6">
        <w:t xml:space="preserve"> longer</w:t>
      </w:r>
      <w:r w:rsidR="0082606B" w:rsidRPr="003859B6">
        <w:t xml:space="preserve"> be granted </w:t>
      </w:r>
      <w:r w:rsidR="00467B7F" w:rsidRPr="003859B6">
        <w:t>licences</w:t>
      </w:r>
      <w:r w:rsidR="0082606B" w:rsidRPr="003859B6" w:rsidDel="002E5233">
        <w:t xml:space="preserve"> </w:t>
      </w:r>
      <w:r w:rsidR="0082606B" w:rsidRPr="003859B6">
        <w:t xml:space="preserve">under current rules). </w:t>
      </w:r>
      <w:r w:rsidR="0082606B" w:rsidRPr="003859B6" w:rsidDel="0082606B">
        <w:t xml:space="preserve"> </w:t>
      </w:r>
    </w:p>
    <w:p w:rsidR="00A41869" w:rsidRPr="003859B6" w:rsidRDefault="00A41869" w:rsidP="00A41869">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38</w:instrText>
      </w:r>
      <w:r w:rsidRPr="003859B6">
        <w:fldChar w:fldCharType="end"/>
      </w:r>
      <w:r w:rsidRPr="003859B6">
        <w:instrText>.</w:instrText>
      </w:r>
      <w:r w:rsidRPr="003859B6">
        <w:tab/>
      </w:r>
      <w:r w:rsidRPr="003859B6">
        <w:fldChar w:fldCharType="end"/>
      </w:r>
      <w:r w:rsidR="00581E54" w:rsidRPr="003859B6">
        <w:t xml:space="preserve">This </w:t>
      </w:r>
      <w:r w:rsidR="00467B7F" w:rsidRPr="003859B6">
        <w:t xml:space="preserve">licencing </w:t>
      </w:r>
      <w:r w:rsidRPr="003859B6">
        <w:t xml:space="preserve">system is </w:t>
      </w:r>
      <w:r w:rsidR="002E5233" w:rsidRPr="003859B6">
        <w:t>in</w:t>
      </w:r>
      <w:r w:rsidR="00581E54" w:rsidRPr="003859B6">
        <w:t>sufficient</w:t>
      </w:r>
      <w:r w:rsidRPr="003859B6">
        <w:t xml:space="preserve"> to manage fishing, as the Indonesian fleet is largely dominated by small-scale boats </w:t>
      </w:r>
      <w:r w:rsidR="00226862" w:rsidRPr="003859B6">
        <w:t xml:space="preserve">of </w:t>
      </w:r>
      <w:r w:rsidRPr="003859B6">
        <w:t xml:space="preserve">under 5 GT operating within </w:t>
      </w:r>
      <w:r w:rsidR="00226862" w:rsidRPr="003859B6">
        <w:t xml:space="preserve">four </w:t>
      </w:r>
      <w:r w:rsidRPr="003859B6">
        <w:t>nautical miles of the coast. More than 500</w:t>
      </w:r>
      <w:r w:rsidR="002E5233" w:rsidRPr="003859B6">
        <w:t> </w:t>
      </w:r>
      <w:r w:rsidRPr="003859B6">
        <w:t xml:space="preserve">000 such boats account for approximately 35-40% of landings (DAFF, 2011). These boats do not require a </w:t>
      </w:r>
      <w:r w:rsidR="00467B7F" w:rsidRPr="003859B6">
        <w:t>licence</w:t>
      </w:r>
      <w:r w:rsidR="002E5233" w:rsidRPr="003859B6">
        <w:t>,</w:t>
      </w:r>
      <w:r w:rsidR="00467B7F" w:rsidRPr="003859B6">
        <w:t xml:space="preserve"> </w:t>
      </w:r>
      <w:r w:rsidRPr="003859B6">
        <w:t xml:space="preserve">and continue to expand in number, </w:t>
      </w:r>
      <w:r w:rsidR="00FF491B" w:rsidRPr="003859B6">
        <w:t xml:space="preserve">reaching </w:t>
      </w:r>
      <w:r w:rsidRPr="003859B6">
        <w:t>about 30% more in 2012 than in the early 2000s (</w:t>
      </w:r>
      <w:proofErr w:type="spellStart"/>
      <w:r w:rsidRPr="003859B6">
        <w:t>Stobutzki</w:t>
      </w:r>
      <w:proofErr w:type="spellEnd"/>
      <w:r w:rsidRPr="003859B6">
        <w:t xml:space="preserve"> et al</w:t>
      </w:r>
      <w:r w:rsidR="00AC2E68" w:rsidRPr="003859B6">
        <w:t>.</w:t>
      </w:r>
      <w:r w:rsidRPr="003859B6">
        <w:t xml:space="preserve">, </w:t>
      </w:r>
      <w:r w:rsidR="003B2DCD" w:rsidRPr="003859B6">
        <w:t>2014</w:t>
      </w:r>
      <w:r w:rsidRPr="003859B6">
        <w:t xml:space="preserve">). Putting in place a simple and inexpensive system for registering such boats and monitoring their catch is a priority. </w:t>
      </w:r>
    </w:p>
    <w:p w:rsidR="00581E54" w:rsidRPr="003859B6" w:rsidRDefault="00581E54" w:rsidP="00581E5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39</w:instrText>
      </w:r>
      <w:r w:rsidRPr="003859B6">
        <w:fldChar w:fldCharType="end"/>
      </w:r>
      <w:r w:rsidRPr="003859B6">
        <w:instrText>.</w:instrText>
      </w:r>
      <w:r w:rsidRPr="003859B6">
        <w:tab/>
      </w:r>
      <w:r w:rsidRPr="003859B6">
        <w:fldChar w:fldCharType="end"/>
      </w:r>
      <w:r w:rsidRPr="003859B6">
        <w:t>In addition, Law No 45/2009</w:t>
      </w:r>
      <w:r w:rsidR="00722531" w:rsidRPr="003859B6">
        <w:t>, which</w:t>
      </w:r>
      <w:r w:rsidRPr="003859B6">
        <w:t xml:space="preserve"> amend</w:t>
      </w:r>
      <w:r w:rsidR="00722531" w:rsidRPr="003859B6">
        <w:t>s</w:t>
      </w:r>
      <w:r w:rsidRPr="003859B6">
        <w:t xml:space="preserve"> Law No 31/2004 </w:t>
      </w:r>
      <w:r w:rsidR="00722531" w:rsidRPr="003859B6">
        <w:t xml:space="preserve">on </w:t>
      </w:r>
      <w:r w:rsidRPr="003859B6">
        <w:t>fisheries</w:t>
      </w:r>
      <w:r w:rsidR="00722531" w:rsidRPr="003859B6">
        <w:t>,</w:t>
      </w:r>
      <w:r w:rsidRPr="003859B6">
        <w:t xml:space="preserve"> defines the policy instruments that can be used to regulate fisheries resources. </w:t>
      </w:r>
      <w:r w:rsidR="00722531" w:rsidRPr="003859B6">
        <w:t xml:space="preserve">These </w:t>
      </w:r>
      <w:r w:rsidRPr="003859B6">
        <w:t>include minimum size requirements</w:t>
      </w:r>
      <w:r w:rsidRPr="003859B6" w:rsidDel="00722531">
        <w:t xml:space="preserve"> </w:t>
      </w:r>
      <w:r w:rsidR="00722531" w:rsidRPr="003859B6">
        <w:t xml:space="preserve">– </w:t>
      </w:r>
      <w:r w:rsidRPr="003859B6">
        <w:t xml:space="preserve">the latest of which, Ministerial Regulation 01/2015, concerns lobsters and crabs, which were harvested </w:t>
      </w:r>
      <w:r w:rsidR="00722531" w:rsidRPr="003859B6">
        <w:t xml:space="preserve">for </w:t>
      </w:r>
      <w:r w:rsidRPr="003859B6">
        <w:t>cult</w:t>
      </w:r>
      <w:r w:rsidR="00722531" w:rsidRPr="003859B6">
        <w:t>ivation</w:t>
      </w:r>
      <w:r w:rsidRPr="003859B6">
        <w:t xml:space="preserve"> in aquaculture facilities</w:t>
      </w:r>
      <w:r w:rsidR="00722531" w:rsidRPr="003859B6">
        <w:t xml:space="preserve"> –</w:t>
      </w:r>
      <w:r w:rsidRPr="003859B6">
        <w:t xml:space="preserve"> as well as restrictions on allowable </w:t>
      </w:r>
      <w:r w:rsidR="00EE4430" w:rsidRPr="003859B6">
        <w:t>gear</w:t>
      </w:r>
      <w:r w:rsidR="00722531" w:rsidRPr="003859B6">
        <w:t xml:space="preserve">, </w:t>
      </w:r>
      <w:r w:rsidRPr="003859B6">
        <w:t>the most recent being the moratorium on the use of seine net</w:t>
      </w:r>
      <w:r w:rsidR="00722531" w:rsidRPr="003859B6">
        <w:t>s</w:t>
      </w:r>
      <w:r w:rsidRPr="003859B6">
        <w:t xml:space="preserve"> and trawls imposed by Ministerial Regulation 02/2015. Particular areas are also closed to fishing, such as the Banda Sea, where fishing was banned by Ministerial Regulation 04/2015.</w:t>
      </w:r>
      <w:r w:rsidRPr="003859B6">
        <w:rPr>
          <w:vertAlign w:val="superscript"/>
        </w:rPr>
        <w:footnoteReference w:id="8"/>
      </w:r>
      <w:r w:rsidRPr="003859B6">
        <w:t xml:space="preserve"> </w:t>
      </w:r>
    </w:p>
    <w:p w:rsidR="00715F39" w:rsidRPr="003859B6" w:rsidRDefault="00715F39" w:rsidP="00581E5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40</w:instrText>
      </w:r>
      <w:r w:rsidRPr="003859B6">
        <w:fldChar w:fldCharType="end"/>
      </w:r>
      <w:r w:rsidRPr="003859B6">
        <w:instrText>.</w:instrText>
      </w:r>
      <w:r w:rsidRPr="003859B6">
        <w:tab/>
      </w:r>
      <w:r w:rsidRPr="003859B6">
        <w:fldChar w:fldCharType="end"/>
      </w:r>
      <w:r w:rsidR="00581E54" w:rsidRPr="003859B6">
        <w:t xml:space="preserve"> In practice, however,</w:t>
      </w:r>
      <w:r w:rsidR="00A41869" w:rsidRPr="003859B6">
        <w:t xml:space="preserve"> there are </w:t>
      </w:r>
      <w:r w:rsidR="0066412A" w:rsidRPr="003859B6">
        <w:t xml:space="preserve">few </w:t>
      </w:r>
      <w:r w:rsidR="00A41869" w:rsidRPr="003859B6">
        <w:t>obligations attached to the licen</w:t>
      </w:r>
      <w:r w:rsidR="00467B7F" w:rsidRPr="003859B6">
        <w:t>c</w:t>
      </w:r>
      <w:r w:rsidR="00A41869" w:rsidRPr="003859B6">
        <w:t>e</w:t>
      </w:r>
      <w:r w:rsidRPr="003859B6">
        <w:t>s</w:t>
      </w:r>
      <w:r w:rsidR="00A41869" w:rsidRPr="003859B6">
        <w:t xml:space="preserve">, particularly with regard to limiting the quantities fished, and fishing regulations </w:t>
      </w:r>
      <w:r w:rsidR="0066412A" w:rsidRPr="003859B6">
        <w:t>can be</w:t>
      </w:r>
      <w:r w:rsidR="00A41869" w:rsidRPr="003859B6">
        <w:t xml:space="preserve"> loosely implemented</w:t>
      </w:r>
      <w:r w:rsidR="00806880" w:rsidRPr="003859B6">
        <w:t>, with limited policy efforts in place to rectify this situation</w:t>
      </w:r>
      <w:r w:rsidR="00A41869" w:rsidRPr="003859B6">
        <w:t xml:space="preserve">. This </w:t>
      </w:r>
      <w:r w:rsidR="0066412A" w:rsidRPr="003859B6">
        <w:t>is a significant policy challenge</w:t>
      </w:r>
      <w:r w:rsidR="00FF491B" w:rsidRPr="003859B6">
        <w:t>,</w:t>
      </w:r>
      <w:r w:rsidR="0066412A" w:rsidRPr="003859B6">
        <w:t xml:space="preserve"> as there</w:t>
      </w:r>
      <w:r w:rsidR="00A41869" w:rsidRPr="003859B6">
        <w:t xml:space="preserve"> are about 50 000 vessels</w:t>
      </w:r>
      <w:r w:rsidR="00FF491B" w:rsidRPr="003859B6">
        <w:t xml:space="preserve"> of</w:t>
      </w:r>
      <w:r w:rsidR="00A41869" w:rsidRPr="003859B6">
        <w:t xml:space="preserve"> between 20 and 30 GT that operate in territorial waters and account for 25-35% of the catch, and a further 10 000 vessels above 30 GT that operate in archipelagic or EEZ waters, </w:t>
      </w:r>
      <w:r w:rsidR="00FF491B" w:rsidRPr="003859B6">
        <w:t>comprising</w:t>
      </w:r>
      <w:r w:rsidR="00A41869" w:rsidRPr="003859B6">
        <w:t xml:space="preserve"> 20-30% of the catch. </w:t>
      </w:r>
      <w:r w:rsidR="00806880" w:rsidRPr="003859B6">
        <w:t>N</w:t>
      </w:r>
      <w:r w:rsidR="00A41869" w:rsidRPr="003859B6">
        <w:t xml:space="preserve">o output controls such as total allowable catch limits (TACs) or quotas are currently in use. </w:t>
      </w:r>
    </w:p>
    <w:p w:rsidR="00E44E5A" w:rsidRPr="003859B6" w:rsidRDefault="00715F39" w:rsidP="00E44E5A">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41</w:instrText>
      </w:r>
      <w:r w:rsidRPr="003859B6">
        <w:fldChar w:fldCharType="end"/>
      </w:r>
      <w:r w:rsidRPr="003859B6">
        <w:instrText>.</w:instrText>
      </w:r>
      <w:r w:rsidRPr="003859B6">
        <w:tab/>
      </w:r>
      <w:r w:rsidRPr="003859B6">
        <w:fldChar w:fldCharType="end"/>
      </w:r>
      <w:r w:rsidR="00A41869" w:rsidRPr="003859B6">
        <w:t>MMAF</w:t>
      </w:r>
      <w:r w:rsidR="00FF491B" w:rsidRPr="003859B6">
        <w:t xml:space="preserve"> has</w:t>
      </w:r>
      <w:r w:rsidR="00A41869" w:rsidRPr="003859B6">
        <w:t xml:space="preserve"> indicated that a roadmap is being developed by the </w:t>
      </w:r>
      <w:r w:rsidR="00FF491B" w:rsidRPr="003859B6">
        <w:t xml:space="preserve">government </w:t>
      </w:r>
      <w:r w:rsidR="00A41869" w:rsidRPr="003859B6">
        <w:t xml:space="preserve">to introduce quotas, capacity rules, closed seasons and zoning laws. However, the MMAF </w:t>
      </w:r>
      <w:r w:rsidR="00FF491B" w:rsidRPr="003859B6">
        <w:t xml:space="preserve">Strategic Plan </w:t>
      </w:r>
      <w:r w:rsidR="00A41869" w:rsidRPr="003859B6">
        <w:t>2015-2019 lacks precision as to how this will be undertaken. Although the document was issued as a Ministerial Decree, which makes it legally binding, policy implications remain uncertain</w:t>
      </w:r>
      <w:r w:rsidR="00FF491B" w:rsidRPr="003859B6">
        <w:t>,</w:t>
      </w:r>
      <w:r w:rsidR="00A41869" w:rsidRPr="003859B6">
        <w:t xml:space="preserve"> as no clear definitions or binding indicators are attached to key objectives, notably in terms of sustainability (CEA</w:t>
      </w:r>
      <w:r w:rsidR="00AC2E68" w:rsidRPr="003859B6">
        <w:t>,</w:t>
      </w:r>
      <w:r w:rsidR="00A41869" w:rsidRPr="003859B6">
        <w:t xml:space="preserve"> 2014).</w:t>
      </w:r>
    </w:p>
    <w:p w:rsidR="00E44E5A" w:rsidRPr="003859B6" w:rsidDel="00715F39" w:rsidRDefault="005A7776" w:rsidP="00730FF4">
      <w:pPr>
        <w:pStyle w:val="Num-DocParagraph"/>
        <w:rPr>
          <w:i/>
        </w:rPr>
      </w:pPr>
      <w:r w:rsidRPr="003859B6">
        <w:rPr>
          <w:i/>
        </w:rPr>
        <w:t xml:space="preserve">Measurable </w:t>
      </w:r>
      <w:r w:rsidR="00B02A67" w:rsidRPr="003859B6">
        <w:rPr>
          <w:i/>
        </w:rPr>
        <w:t>longer-term objectives</w:t>
      </w:r>
      <w:r w:rsidRPr="003859B6">
        <w:rPr>
          <w:i/>
        </w:rPr>
        <w:t xml:space="preserve"> needed</w:t>
      </w:r>
    </w:p>
    <w:p w:rsidR="00B02A67" w:rsidRPr="003859B6" w:rsidRDefault="00730FF4"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42</w:instrText>
      </w:r>
      <w:r w:rsidRPr="003859B6">
        <w:fldChar w:fldCharType="end"/>
      </w:r>
      <w:r w:rsidRPr="003859B6">
        <w:instrText>.</w:instrText>
      </w:r>
      <w:r w:rsidRPr="003859B6">
        <w:tab/>
      </w:r>
      <w:r w:rsidRPr="003859B6">
        <w:fldChar w:fldCharType="end"/>
      </w:r>
      <w:r w:rsidR="00B02A67" w:rsidRPr="003859B6">
        <w:t xml:space="preserve">A varied set of controls based on effort and restrictions on the areas where fishing is permitted, such as those currently used in Indonesia, leads to opacity and high transaction costs. Alternatively, </w:t>
      </w:r>
      <w:r w:rsidR="006A7B1E" w:rsidRPr="003859B6">
        <w:t xml:space="preserve">the </w:t>
      </w:r>
      <w:r w:rsidR="00B02A67" w:rsidRPr="003859B6">
        <w:t xml:space="preserve">management of resources should be shifted towards </w:t>
      </w:r>
      <w:r w:rsidR="006A7B1E" w:rsidRPr="003859B6">
        <w:t xml:space="preserve">fisheries </w:t>
      </w:r>
      <w:r w:rsidR="00B02A67" w:rsidRPr="003859B6">
        <w:t xml:space="preserve">management and rebuilding plans </w:t>
      </w:r>
      <w:r w:rsidR="006A7B1E" w:rsidRPr="003859B6">
        <w:t xml:space="preserve">– </w:t>
      </w:r>
      <w:r w:rsidR="00B63681" w:rsidRPr="003859B6">
        <w:t>built around</w:t>
      </w:r>
      <w:r w:rsidR="006A7B1E" w:rsidRPr="003859B6">
        <w:t xml:space="preserve"> </w:t>
      </w:r>
      <w:r w:rsidR="00FF491B" w:rsidRPr="003859B6">
        <w:t xml:space="preserve">medium- to long-term horizon </w:t>
      </w:r>
      <w:r w:rsidR="00B63681" w:rsidRPr="003859B6">
        <w:t>measurable</w:t>
      </w:r>
      <w:r w:rsidR="00FF491B" w:rsidRPr="003859B6">
        <w:t xml:space="preserve"> </w:t>
      </w:r>
      <w:r w:rsidR="00B63681" w:rsidRPr="003859B6">
        <w:t>objectives</w:t>
      </w:r>
      <w:r w:rsidR="00FF491B" w:rsidRPr="003859B6">
        <w:t xml:space="preserve"> </w:t>
      </w:r>
      <w:r w:rsidR="006A7B1E" w:rsidRPr="003859B6">
        <w:t xml:space="preserve">– </w:t>
      </w:r>
      <w:r w:rsidR="00B02A67" w:rsidRPr="003859B6">
        <w:t xml:space="preserve">that </w:t>
      </w:r>
      <w:r w:rsidR="009148BD" w:rsidRPr="003859B6">
        <w:t xml:space="preserve">first </w:t>
      </w:r>
      <w:r w:rsidR="00B02A67" w:rsidRPr="003859B6">
        <w:t xml:space="preserve">target overfished species </w:t>
      </w:r>
      <w:r w:rsidR="00A242FD" w:rsidRPr="003859B6">
        <w:t>(see Box 2)</w:t>
      </w:r>
      <w:r w:rsidR="00B02A67" w:rsidRPr="003859B6">
        <w:t xml:space="preserve">. </w:t>
      </w:r>
    </w:p>
    <w:p w:rsidR="00B02A67" w:rsidRPr="003859B6" w:rsidRDefault="00B02A67" w:rsidP="00542BF9">
      <w:pPr>
        <w:pStyle w:val="BoxHeading"/>
        <w:pBdr>
          <w:top w:val="single" w:sz="4" w:space="1" w:color="auto"/>
          <w:left w:val="single" w:sz="4" w:space="1" w:color="auto"/>
          <w:bottom w:val="single" w:sz="4" w:space="1" w:color="auto"/>
          <w:right w:val="single" w:sz="4" w:space="1" w:color="auto"/>
        </w:pBdr>
      </w:pPr>
      <w:bookmarkStart w:id="64" w:name="_Toc473275098"/>
      <w:r w:rsidRPr="003859B6">
        <w:t>Box 2</w:t>
      </w:r>
      <w:r w:rsidR="00A242FD" w:rsidRPr="003859B6">
        <w:t>.</w:t>
      </w:r>
      <w:r w:rsidRPr="003859B6">
        <w:t xml:space="preserve"> Designing rebuilding and management targets</w:t>
      </w:r>
      <w:bookmarkEnd w:id="64"/>
    </w:p>
    <w:p w:rsidR="00B02A67" w:rsidRPr="003859B6" w:rsidRDefault="00B02A67" w:rsidP="00542BF9">
      <w:pPr>
        <w:pStyle w:val="TextBox"/>
        <w:pBdr>
          <w:top w:val="single" w:sz="4" w:space="1" w:color="auto"/>
          <w:left w:val="single" w:sz="4" w:space="1" w:color="auto"/>
          <w:bottom w:val="single" w:sz="4" w:space="1" w:color="auto"/>
          <w:right w:val="single" w:sz="4" w:space="1" w:color="auto"/>
        </w:pBdr>
      </w:pPr>
      <w:r w:rsidRPr="003859B6">
        <w:t xml:space="preserve">A key issue for any system of regulation is whether fishers have an incentive to conserve fish stocks if they have no guarantee that other fishers will do the same. To be considered acceptable, regulations therefore need to be both clear so that fishers can be confident that institutions in charge can, and will, enforce regulations. </w:t>
      </w:r>
    </w:p>
    <w:p w:rsidR="00B02A67" w:rsidRPr="003859B6" w:rsidRDefault="00B02A67" w:rsidP="00542BF9">
      <w:pPr>
        <w:pStyle w:val="TextBox"/>
        <w:pBdr>
          <w:top w:val="single" w:sz="4" w:space="1" w:color="auto"/>
          <w:left w:val="single" w:sz="4" w:space="1" w:color="auto"/>
          <w:bottom w:val="single" w:sz="4" w:space="1" w:color="auto"/>
          <w:right w:val="single" w:sz="4" w:space="1" w:color="auto"/>
        </w:pBdr>
      </w:pPr>
      <w:r w:rsidRPr="003859B6">
        <w:t>Understanding the complexity of tasks and the time horizons required to measure the success of programmes is therefore key; this makes clarity regarding the objectives pursued crucial. There are many examples of rebuilding programmes that have failed to reach targets</w:t>
      </w:r>
      <w:r w:rsidR="00ED6C0B" w:rsidRPr="003859B6">
        <w:t>,</w:t>
      </w:r>
      <w:r w:rsidRPr="003859B6">
        <w:t xml:space="preserve"> and it is vital that program</w:t>
      </w:r>
      <w:r w:rsidR="00ED6C0B" w:rsidRPr="003859B6">
        <w:t>me</w:t>
      </w:r>
      <w:r w:rsidRPr="003859B6">
        <w:t xml:space="preserve">s include options </w:t>
      </w:r>
      <w:r w:rsidR="00ED6C0B" w:rsidRPr="003859B6">
        <w:t xml:space="preserve">in the event that </w:t>
      </w:r>
      <w:r w:rsidRPr="003859B6">
        <w:t>the stock does not respond in the way predicted. Sometimes, this is a result of data deficiencies, changes in understanding of the biological characteristics of the stock, refinements in the models used to predict rebuilding pathways, or just broader environmental changes such as climate change. The lesson learned in most cases is that plans are likely to take longer than originally anticipated. Communication on these difficulties is important for fisheries policy-making institutions in order not to lose credibility.</w:t>
      </w:r>
      <w:r w:rsidRPr="003859B6" w:rsidDel="005E2BD2">
        <w:t xml:space="preserve"> </w:t>
      </w:r>
    </w:p>
    <w:p w:rsidR="00B02A67" w:rsidRPr="003859B6" w:rsidRDefault="00B02A67" w:rsidP="00542BF9">
      <w:pPr>
        <w:pStyle w:val="TextBox"/>
        <w:pBdr>
          <w:top w:val="single" w:sz="4" w:space="1" w:color="auto"/>
          <w:left w:val="single" w:sz="4" w:space="1" w:color="auto"/>
          <w:bottom w:val="single" w:sz="4" w:space="1" w:color="auto"/>
          <w:right w:val="single" w:sz="4" w:space="1" w:color="auto"/>
        </w:pBdr>
      </w:pPr>
      <w:r w:rsidRPr="003859B6">
        <w:t>Traditionally, fisheries managers and scientists providing advice on stocks have focused on the maximum sustainable yield (MSY) as an appropriate management target. While stock management is a necessary objective of fisheries policy makers, maximising social welfare is the ultimate goal. Addressing risk and uncertainties should also be explicitly considered when designing management plans. Stock status targets other than MSY are thus increasingly being used, for example, to maximise profits instead of production under stock conservation constraints. Alternatively, policies may aim to rebuild stocks, reduce the risk of collapse or impose particular social or environmental norms.</w:t>
      </w:r>
    </w:p>
    <w:p w:rsidR="00B02A67" w:rsidRPr="003859B6" w:rsidRDefault="00B02A67" w:rsidP="00542BF9">
      <w:pPr>
        <w:pStyle w:val="TextBox"/>
        <w:pBdr>
          <w:top w:val="single" w:sz="4" w:space="1" w:color="auto"/>
          <w:left w:val="single" w:sz="4" w:space="1" w:color="auto"/>
          <w:bottom w:val="single" w:sz="4" w:space="1" w:color="auto"/>
          <w:right w:val="single" w:sz="4" w:space="1" w:color="auto"/>
        </w:pBdr>
      </w:pPr>
      <w:r w:rsidRPr="003859B6">
        <w:t>In addition, rebuilding and management plans should not only be based on biological targets but incorporate social and economic principles throughout the design and implementation process in an integrated fashion, as opposed to sequenti</w:t>
      </w:r>
      <w:r w:rsidR="00BF5876" w:rsidRPr="003859B6">
        <w:t>ally or in isolation (OECD, 2014</w:t>
      </w:r>
      <w:r w:rsidRPr="003859B6">
        <w:t xml:space="preserve">). Plans ideally need to address direct fisheries adjustment, local employment (including those in the processing and marketing sectors), regional impacts or the need for alternative employment and livelihood opportunities, as well as food security. </w:t>
      </w:r>
    </w:p>
    <w:p w:rsidR="00B02A67" w:rsidRPr="003859B6" w:rsidRDefault="00B02A67" w:rsidP="00542BF9">
      <w:pPr>
        <w:pStyle w:val="TextBox"/>
        <w:pBdr>
          <w:top w:val="single" w:sz="4" w:space="1" w:color="auto"/>
          <w:left w:val="single" w:sz="4" w:space="1" w:color="auto"/>
          <w:bottom w:val="single" w:sz="4" w:space="1" w:color="auto"/>
          <w:right w:val="single" w:sz="4" w:space="1" w:color="auto"/>
        </w:pBdr>
      </w:pPr>
      <w:r w:rsidRPr="003859B6">
        <w:t>The OECD also calls for the adoption of the now globally recognised Ecosystem Approach to Fisheries (EAF), as far as possible. The EAF is defined as “</w:t>
      </w:r>
      <w:proofErr w:type="spellStart"/>
      <w:r w:rsidRPr="003859B6">
        <w:t>striv</w:t>
      </w:r>
      <w:proofErr w:type="spellEnd"/>
      <w:r w:rsidRPr="003859B6">
        <w:t>[</w:t>
      </w:r>
      <w:proofErr w:type="spellStart"/>
      <w:r w:rsidRPr="003859B6">
        <w:t>ing</w:t>
      </w:r>
      <w:proofErr w:type="spellEnd"/>
      <w:r w:rsidRPr="003859B6">
        <w:t xml:space="preserve">] to balance diverse societal objectives, by taking into account the knowledge and uncertainties about biotic, abiotic and human components of ecosystems and their interactions, and applying an integrated approach within ecological meaningful boundaries” (FAO, 2003). This approach implies that decisions are made using a comprehensive, inclusive framework for all living resources, rather than reacting to the status of a single stock of fish. The main obstacle to implementing the EAF is that it substantially increases the level of information and analysis required, and this level of information is not yet available in Indonesia. </w:t>
      </w:r>
    </w:p>
    <w:p w:rsidR="00B02A67" w:rsidRPr="003859B6" w:rsidRDefault="00730FF4" w:rsidP="00545D26">
      <w:pPr>
        <w:pStyle w:val="Num-DocParagraph"/>
        <w:pageBreakBefore/>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43</w:instrText>
      </w:r>
      <w:r w:rsidRPr="003859B6">
        <w:fldChar w:fldCharType="end"/>
      </w:r>
      <w:r w:rsidRPr="003859B6">
        <w:instrText>.</w:instrText>
      </w:r>
      <w:r w:rsidRPr="003859B6">
        <w:tab/>
      </w:r>
      <w:r w:rsidRPr="003859B6">
        <w:fldChar w:fldCharType="end"/>
      </w:r>
      <w:r w:rsidR="00B02A67" w:rsidRPr="003859B6">
        <w:t>Law No 31/2004 paved the way for the development of fisheries management plans on the basis of 11 fisheries management areas. Plan development is the responsibility of the central government</w:t>
      </w:r>
      <w:r w:rsidR="00ED6C0B" w:rsidRPr="003859B6">
        <w:t>,</w:t>
      </w:r>
      <w:r w:rsidR="00B02A67" w:rsidRPr="003859B6">
        <w:t xml:space="preserve"> while their implementation falls in part on </w:t>
      </w:r>
      <w:r w:rsidR="00C3587A" w:rsidRPr="003859B6">
        <w:t>p</w:t>
      </w:r>
      <w:r w:rsidR="00B02A67" w:rsidRPr="003859B6">
        <w:t xml:space="preserve">rovinces and </w:t>
      </w:r>
      <w:r w:rsidR="00C3587A" w:rsidRPr="003859B6">
        <w:t>d</w:t>
      </w:r>
      <w:r w:rsidR="00B02A67" w:rsidRPr="003859B6">
        <w:t xml:space="preserve">istricts. To date, however, only </w:t>
      </w:r>
      <w:r w:rsidR="002D7B8A" w:rsidRPr="003859B6">
        <w:t>three</w:t>
      </w:r>
      <w:r w:rsidR="00B02A67" w:rsidRPr="003859B6">
        <w:t xml:space="preserve"> plan</w:t>
      </w:r>
      <w:r w:rsidR="002D7B8A" w:rsidRPr="003859B6">
        <w:t>s</w:t>
      </w:r>
      <w:r w:rsidR="00B02A67" w:rsidRPr="003859B6">
        <w:t xml:space="preserve"> ha</w:t>
      </w:r>
      <w:r w:rsidR="002D7B8A" w:rsidRPr="003859B6">
        <w:t>ve</w:t>
      </w:r>
      <w:r w:rsidR="00B02A67" w:rsidRPr="003859B6">
        <w:t xml:space="preserve"> been adopted</w:t>
      </w:r>
      <w:r w:rsidR="00ED6C0B" w:rsidRPr="003859B6">
        <w:t>,</w:t>
      </w:r>
      <w:r w:rsidR="00B02A67" w:rsidRPr="003859B6">
        <w:t xml:space="preserve"> and </w:t>
      </w:r>
      <w:r w:rsidR="009148BD" w:rsidRPr="003859B6">
        <w:t xml:space="preserve">12 years </w:t>
      </w:r>
      <w:r w:rsidR="00C3587A" w:rsidRPr="003859B6">
        <w:t xml:space="preserve">later </w:t>
      </w:r>
      <w:r w:rsidR="00B02A67" w:rsidRPr="003859B6">
        <w:t xml:space="preserve">the remaining </w:t>
      </w:r>
      <w:r w:rsidR="002D7B8A" w:rsidRPr="003859B6">
        <w:t>eight</w:t>
      </w:r>
      <w:r w:rsidR="00B02A67" w:rsidRPr="003859B6">
        <w:t xml:space="preserve"> are still at the drafting stage. According to </w:t>
      </w:r>
      <w:proofErr w:type="spellStart"/>
      <w:r w:rsidR="00B02A67" w:rsidRPr="003859B6">
        <w:t>Sutinen</w:t>
      </w:r>
      <w:proofErr w:type="spellEnd"/>
      <w:r w:rsidR="00B02A67" w:rsidRPr="003859B6">
        <w:t xml:space="preserve"> (2013), despite aiming to follow </w:t>
      </w:r>
      <w:r w:rsidR="00ED6C0B" w:rsidRPr="003859B6">
        <w:t xml:space="preserve">FAO </w:t>
      </w:r>
      <w:r w:rsidR="00B02A67" w:rsidRPr="003859B6">
        <w:t>recommendations to use an ecosystem-based approach to management, the plans are not tailored to protect or rebuild specific stocks, largely because no quotas or TACs have been adopted.</w:t>
      </w:r>
    </w:p>
    <w:p w:rsidR="00B02A67" w:rsidRPr="003859B6" w:rsidRDefault="00730FF4"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44</w:instrText>
      </w:r>
      <w:r w:rsidRPr="003859B6">
        <w:fldChar w:fldCharType="end"/>
      </w:r>
      <w:r w:rsidRPr="003859B6">
        <w:instrText>.</w:instrText>
      </w:r>
      <w:r w:rsidRPr="003859B6">
        <w:tab/>
      </w:r>
      <w:r w:rsidRPr="003859B6">
        <w:fldChar w:fldCharType="end"/>
      </w:r>
      <w:r w:rsidR="00B02A67" w:rsidRPr="003859B6">
        <w:t xml:space="preserve">A major constraint </w:t>
      </w:r>
      <w:r w:rsidR="00C3587A" w:rsidRPr="003859B6">
        <w:t xml:space="preserve">on </w:t>
      </w:r>
      <w:r w:rsidR="00B02A67" w:rsidRPr="003859B6">
        <w:t>the use of output-based management instruments in Indonesia is the lack of accurate data on which biomass and optimal capacity calculations depend, particularly catch data. While stock status assessments should be undertaken annually in the 11 management areas by MMAF and associated research centres and universities</w:t>
      </w:r>
      <w:r w:rsidR="009148BD" w:rsidRPr="003859B6">
        <w:t>,</w:t>
      </w:r>
      <w:r w:rsidR="00B02A67" w:rsidRPr="003859B6">
        <w:t xml:space="preserve"> stocks were</w:t>
      </w:r>
      <w:r w:rsidR="00C07E45" w:rsidRPr="003859B6">
        <w:t xml:space="preserve"> not</w:t>
      </w:r>
      <w:r w:rsidR="00B02A67" w:rsidRPr="003859B6">
        <w:t xml:space="preserve"> evaluated </w:t>
      </w:r>
      <w:r w:rsidR="00F44349" w:rsidRPr="003859B6">
        <w:t>between 2011</w:t>
      </w:r>
      <w:r w:rsidR="00C07E45" w:rsidRPr="003859B6">
        <w:t xml:space="preserve"> and </w:t>
      </w:r>
      <w:r w:rsidR="00AE224A" w:rsidRPr="003859B6">
        <w:t>2016</w:t>
      </w:r>
      <w:r w:rsidR="00C07E45" w:rsidRPr="003859B6">
        <w:t>.</w:t>
      </w:r>
    </w:p>
    <w:p w:rsidR="00B02A67" w:rsidRPr="003859B6" w:rsidRDefault="00730FF4"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45</w:instrText>
      </w:r>
      <w:r w:rsidRPr="003859B6">
        <w:fldChar w:fldCharType="end"/>
      </w:r>
      <w:r w:rsidRPr="003859B6">
        <w:instrText>.</w:instrText>
      </w:r>
      <w:r w:rsidRPr="003859B6">
        <w:tab/>
      </w:r>
      <w:r w:rsidRPr="003859B6">
        <w:fldChar w:fldCharType="end"/>
      </w:r>
      <w:r w:rsidR="00B02A67" w:rsidRPr="003859B6">
        <w:t>The task of producing up</w:t>
      </w:r>
      <w:r w:rsidR="00ED6C0B" w:rsidRPr="003859B6">
        <w:t>-</w:t>
      </w:r>
      <w:r w:rsidR="00B02A67" w:rsidRPr="003859B6">
        <w:t>to</w:t>
      </w:r>
      <w:r w:rsidR="00ED6C0B" w:rsidRPr="003859B6">
        <w:t>-</w:t>
      </w:r>
      <w:r w:rsidR="00B02A67" w:rsidRPr="003859B6">
        <w:t>date and accurate data is particularly difficult in the Indonesian context: catches are extremely diverse</w:t>
      </w:r>
      <w:r w:rsidR="00ED6C0B" w:rsidRPr="003859B6">
        <w:t>,</w:t>
      </w:r>
      <w:r w:rsidR="00B02A67" w:rsidRPr="003859B6">
        <w:t xml:space="preserve"> with each family or other higher tax</w:t>
      </w:r>
      <w:r w:rsidR="00ED6C0B" w:rsidRPr="003859B6">
        <w:t xml:space="preserve"> </w:t>
      </w:r>
      <w:r w:rsidR="00B02A67" w:rsidRPr="003859B6">
        <w:t>on in the reconstructed catch representing dozens of species</w:t>
      </w:r>
      <w:r w:rsidR="00ED6C0B" w:rsidRPr="003859B6">
        <w:t>,</w:t>
      </w:r>
      <w:r w:rsidR="00B02A67" w:rsidRPr="003859B6">
        <w:t xml:space="preserve"> and each species representing hundreds of stocks scattered over thousands of kilometres of complex geography. Therefore, a stock-by-stock or even species-by-species study of these catch data is complicated, except for a few species of tuna, while multispecies stock assessments have proven </w:t>
      </w:r>
      <w:r w:rsidR="00ED6C0B" w:rsidRPr="003859B6">
        <w:t xml:space="preserve">notoriously </w:t>
      </w:r>
      <w:r w:rsidR="00B02A67" w:rsidRPr="003859B6">
        <w:t>difficult (</w:t>
      </w:r>
      <w:proofErr w:type="spellStart"/>
      <w:r w:rsidR="00B02A67" w:rsidRPr="003859B6">
        <w:t>Pauly</w:t>
      </w:r>
      <w:proofErr w:type="spellEnd"/>
      <w:r w:rsidR="00B02A67" w:rsidRPr="003859B6">
        <w:t xml:space="preserve"> and </w:t>
      </w:r>
      <w:proofErr w:type="spellStart"/>
      <w:r w:rsidR="00B02A67" w:rsidRPr="003859B6">
        <w:t>Budimartono</w:t>
      </w:r>
      <w:proofErr w:type="spellEnd"/>
      <w:r w:rsidR="00B02A67" w:rsidRPr="003859B6">
        <w:t>, 2015). Alternatively, assessment of multispecies fish stocks should focus on changes in catch levels and composition, with rapid changes of these indicators providing strong evidence of a lack of sustainability (</w:t>
      </w:r>
      <w:proofErr w:type="spellStart"/>
      <w:r w:rsidR="00B02A67" w:rsidRPr="003859B6">
        <w:t>Pauly</w:t>
      </w:r>
      <w:proofErr w:type="spellEnd"/>
      <w:r w:rsidR="00B02A67" w:rsidRPr="003859B6">
        <w:t xml:space="preserve"> and </w:t>
      </w:r>
      <w:proofErr w:type="spellStart"/>
      <w:r w:rsidR="00B02A67" w:rsidRPr="003859B6">
        <w:t>Budimartono</w:t>
      </w:r>
      <w:proofErr w:type="spellEnd"/>
      <w:r w:rsidR="00B02A67" w:rsidRPr="003859B6">
        <w:t>, 2015). Tracking catch levels and compositions in turn requires accurate catch data from all fisheries,</w:t>
      </w:r>
      <w:r w:rsidR="00B02A67" w:rsidRPr="003859B6" w:rsidDel="00ED6C0B">
        <w:t xml:space="preserve"> </w:t>
      </w:r>
      <w:r w:rsidR="00B02A67" w:rsidRPr="003859B6">
        <w:t>including from small-scale boats, illegal fisheries, and discards, which are usually not included in catch statistics. The fact that most artisanal boats do not need a licen</w:t>
      </w:r>
      <w:r w:rsidR="00467B7F" w:rsidRPr="003859B6">
        <w:t>c</w:t>
      </w:r>
      <w:r w:rsidR="00B02A67" w:rsidRPr="003859B6">
        <w:t>e (if they are under 5 GT)</w:t>
      </w:r>
      <w:r w:rsidR="003810A1" w:rsidRPr="003859B6">
        <w:t>,</w:t>
      </w:r>
      <w:r w:rsidR="00B02A67" w:rsidRPr="003859B6">
        <w:t xml:space="preserve"> and that MMAF does not receive information from </w:t>
      </w:r>
      <w:r w:rsidR="00C3587A" w:rsidRPr="003859B6">
        <w:t>p</w:t>
      </w:r>
      <w:r w:rsidR="00B02A67" w:rsidRPr="003859B6">
        <w:t xml:space="preserve">rovincial authorities on the number of boats </w:t>
      </w:r>
      <w:r w:rsidR="00DD5DA2" w:rsidRPr="003859B6">
        <w:t xml:space="preserve">between 5 and </w:t>
      </w:r>
      <w:r w:rsidR="00B02A67" w:rsidRPr="003859B6">
        <w:t>30</w:t>
      </w:r>
      <w:r w:rsidR="00C3587A" w:rsidRPr="003859B6">
        <w:t xml:space="preserve"> </w:t>
      </w:r>
      <w:r w:rsidR="00B02A67" w:rsidRPr="003859B6">
        <w:t xml:space="preserve">GT that they </w:t>
      </w:r>
      <w:r w:rsidR="00467B7F" w:rsidRPr="003859B6">
        <w:t>licence</w:t>
      </w:r>
      <w:r w:rsidR="003810A1" w:rsidRPr="003859B6">
        <w:t>,</w:t>
      </w:r>
      <w:r w:rsidR="00467B7F" w:rsidRPr="003859B6">
        <w:t xml:space="preserve"> </w:t>
      </w:r>
      <w:r w:rsidR="00B02A67" w:rsidRPr="003859B6">
        <w:t xml:space="preserve">is a major constraint to adequate catch monitoring. </w:t>
      </w:r>
      <w:r w:rsidR="00541A21" w:rsidRPr="003859B6">
        <w:t>Scientific data gathering could be complemented by t</w:t>
      </w:r>
      <w:r w:rsidR="003810A1" w:rsidRPr="003859B6">
        <w:t>he collection</w:t>
      </w:r>
      <w:r w:rsidR="003E36AF" w:rsidRPr="003859B6">
        <w:t xml:space="preserve"> </w:t>
      </w:r>
      <w:r w:rsidR="00B63681" w:rsidRPr="003859B6">
        <w:t>of fishers’ knowledge on the health of stocks</w:t>
      </w:r>
      <w:r w:rsidR="003810A1" w:rsidRPr="003859B6">
        <w:t xml:space="preserve"> </w:t>
      </w:r>
      <w:r w:rsidR="003E36AF" w:rsidRPr="003859B6">
        <w:t xml:space="preserve">at </w:t>
      </w:r>
      <w:r w:rsidR="001E31B1" w:rsidRPr="003859B6">
        <w:t>district and provincial levels</w:t>
      </w:r>
      <w:r w:rsidR="00B02A67" w:rsidRPr="003859B6">
        <w:t>.</w:t>
      </w:r>
      <w:r w:rsidR="00B02A67" w:rsidRPr="003859B6" w:rsidDel="00541A21">
        <w:t xml:space="preserve"> </w:t>
      </w:r>
      <w:r w:rsidR="00541A21" w:rsidRPr="003859B6">
        <w:t xml:space="preserve">In addition to providing a low-cost means of information gathering, the use of </w:t>
      </w:r>
      <w:r w:rsidR="00B02A67" w:rsidRPr="003859B6">
        <w:t>fishers’ knowledge also has the potential to increase the acceptability of policy decisions.</w:t>
      </w:r>
      <w:r w:rsidR="00ED6C0B" w:rsidRPr="003859B6">
        <w:t xml:space="preserve"> </w:t>
      </w:r>
    </w:p>
    <w:p w:rsidR="00B02A67" w:rsidRPr="003859B6" w:rsidRDefault="00730FF4" w:rsidP="00730FF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46</w:instrText>
      </w:r>
      <w:r w:rsidRPr="003859B6">
        <w:fldChar w:fldCharType="end"/>
      </w:r>
      <w:r w:rsidRPr="003859B6">
        <w:instrText>.</w:instrText>
      </w:r>
      <w:r w:rsidRPr="003859B6">
        <w:tab/>
      </w:r>
      <w:r w:rsidRPr="003859B6">
        <w:fldChar w:fldCharType="end"/>
      </w:r>
      <w:r w:rsidR="00B02A67" w:rsidRPr="003859B6">
        <w:t xml:space="preserve">Designing comprehensive management and rebuilding plans, with a view to adopting the </w:t>
      </w:r>
      <w:r w:rsidR="00AF680A" w:rsidRPr="003859B6">
        <w:t>Ecosystem Approach to Fisheries (</w:t>
      </w:r>
      <w:r w:rsidR="00B02A67" w:rsidRPr="003859B6">
        <w:t>EAF</w:t>
      </w:r>
      <w:r w:rsidR="00AF680A" w:rsidRPr="003859B6">
        <w:t>)</w:t>
      </w:r>
      <w:r w:rsidR="00B02A67" w:rsidRPr="003859B6">
        <w:t xml:space="preserve"> in the longer term, also requires integrating biological information with information on the socio-economic characteristics of fisheries. Matching socio-economic information on fisheries with biological information on resources would be useful for identifying overfished stocks of greatest significance in terms of income, employment or food consumption in order to better target rebuilding efforts. In this perspective, the </w:t>
      </w:r>
      <w:r w:rsidR="00DF075B" w:rsidRPr="003859B6">
        <w:t>g</w:t>
      </w:r>
      <w:r w:rsidR="00B02A67" w:rsidRPr="003859B6">
        <w:t>overnment is currently working jointly with the World Bank on the creation of a centrali</w:t>
      </w:r>
      <w:r w:rsidR="00DF075B" w:rsidRPr="003859B6">
        <w:t>s</w:t>
      </w:r>
      <w:r w:rsidR="00B02A67" w:rsidRPr="003859B6">
        <w:t>ed data collection system which would replace the more than 200 datasets that are currently in use at MMAF.</w:t>
      </w:r>
    </w:p>
    <w:p w:rsidR="00E37C0D" w:rsidRPr="003859B6" w:rsidRDefault="00AF7DB7" w:rsidP="00E37C0D">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47</w:instrText>
      </w:r>
      <w:r w:rsidRPr="003859B6">
        <w:fldChar w:fldCharType="end"/>
      </w:r>
      <w:r w:rsidRPr="003859B6">
        <w:instrText>.</w:instrText>
      </w:r>
      <w:r w:rsidRPr="003859B6">
        <w:tab/>
      </w:r>
      <w:r w:rsidRPr="003859B6">
        <w:fldChar w:fldCharType="end"/>
      </w:r>
      <w:r w:rsidR="00B02A67" w:rsidRPr="003859B6">
        <w:t>Setting up transparent and inclusive decision-making processes to set TACs and quotas is also important to avoid conflicts of interest among users and policy</w:t>
      </w:r>
      <w:r w:rsidR="00AF680A" w:rsidRPr="003859B6">
        <w:t xml:space="preserve"> </w:t>
      </w:r>
      <w:r w:rsidR="00B02A67" w:rsidRPr="003859B6">
        <w:t>makers while limiting transaction costs. Making clear how scientific information will be collected, how it will be used in the decision-making process, and making this information public, for example, can help build accountability and trust and in the system. Working on the governance of the sector should also be a priority in order to build faith in the management system so that fishers</w:t>
      </w:r>
      <w:r w:rsidR="00AF680A" w:rsidRPr="003859B6">
        <w:t xml:space="preserve"> –</w:t>
      </w:r>
      <w:r w:rsidR="00B02A67" w:rsidRPr="003859B6">
        <w:t xml:space="preserve"> and stakeholders more generally </w:t>
      </w:r>
      <w:r w:rsidR="00AF680A" w:rsidRPr="003859B6">
        <w:t xml:space="preserve">– </w:t>
      </w:r>
      <w:r w:rsidR="00B02A67" w:rsidRPr="003859B6">
        <w:t>will understand that regulation is in their best interest</w:t>
      </w:r>
      <w:r w:rsidR="00AF680A" w:rsidRPr="003859B6">
        <w:t>,</w:t>
      </w:r>
      <w:r w:rsidR="00B02A67" w:rsidRPr="003859B6">
        <w:t xml:space="preserve"> and that it will be enforced</w:t>
      </w:r>
      <w:r w:rsidR="00A242FD" w:rsidRPr="003859B6">
        <w:t xml:space="preserve"> (see Box 3)</w:t>
      </w:r>
      <w:r w:rsidR="00B02A67" w:rsidRPr="003859B6">
        <w:t xml:space="preserve">. This would help </w:t>
      </w:r>
      <w:r w:rsidR="00AF680A" w:rsidRPr="003859B6">
        <w:t xml:space="preserve">to </w:t>
      </w:r>
      <w:r w:rsidR="00B02A67" w:rsidRPr="003859B6">
        <w:t>create confidence among investors that management policies will be effective in the long term and that the sector is a sustainable market to invest in.</w:t>
      </w:r>
    </w:p>
    <w:p w:rsidR="00545D26" w:rsidRPr="003859B6" w:rsidRDefault="00545D26" w:rsidP="00157D4F">
      <w:pPr>
        <w:pStyle w:val="Author"/>
      </w:pPr>
    </w:p>
    <w:p w:rsidR="00157D4F" w:rsidRPr="003859B6" w:rsidRDefault="00157D4F" w:rsidP="00157D4F">
      <w:pPr>
        <w:pStyle w:val="Author"/>
        <w:rPr>
          <w:lang w:val="en-GB"/>
        </w:rPr>
      </w:pPr>
    </w:p>
    <w:p w:rsidR="00B02A67" w:rsidRPr="003859B6" w:rsidRDefault="00B02A67" w:rsidP="00542BF9">
      <w:pPr>
        <w:pStyle w:val="BoxHeading"/>
        <w:pBdr>
          <w:top w:val="single" w:sz="4" w:space="1" w:color="auto"/>
          <w:left w:val="single" w:sz="4" w:space="1" w:color="auto"/>
          <w:bottom w:val="single" w:sz="4" w:space="1" w:color="auto"/>
          <w:right w:val="single" w:sz="4" w:space="1" w:color="auto"/>
        </w:pBdr>
      </w:pPr>
      <w:bookmarkStart w:id="65" w:name="_Toc473275099"/>
      <w:r w:rsidRPr="003859B6">
        <w:t>Box 3. Legitimate and acceptable governance</w:t>
      </w:r>
      <w:bookmarkEnd w:id="65"/>
    </w:p>
    <w:p w:rsidR="00B02A67" w:rsidRPr="003859B6" w:rsidRDefault="00B02A67" w:rsidP="00542BF9">
      <w:pPr>
        <w:pStyle w:val="TextBox"/>
        <w:pBdr>
          <w:top w:val="single" w:sz="4" w:space="1" w:color="auto"/>
          <w:left w:val="single" w:sz="4" w:space="1" w:color="auto"/>
          <w:bottom w:val="single" w:sz="4" w:space="1" w:color="auto"/>
          <w:right w:val="single" w:sz="4" w:space="1" w:color="auto"/>
        </w:pBdr>
        <w:rPr>
          <w:rFonts w:eastAsia="Calibri"/>
        </w:rPr>
      </w:pPr>
      <w:r w:rsidRPr="003859B6">
        <w:rPr>
          <w:rFonts w:eastAsia="Calibri"/>
        </w:rPr>
        <w:t xml:space="preserve">Governance of fisheries and aquaculture, and conservation of the ecosystems that sustain them, can be understood as a process through which institutions, governments, and stakeholders in the sector elaborate, adopt and implement policies and management strategies. </w:t>
      </w:r>
    </w:p>
    <w:p w:rsidR="00B02A67" w:rsidRPr="003859B6" w:rsidRDefault="00B02A67" w:rsidP="00542BF9">
      <w:pPr>
        <w:pStyle w:val="TextBox"/>
        <w:pBdr>
          <w:top w:val="single" w:sz="4" w:space="1" w:color="auto"/>
          <w:left w:val="single" w:sz="4" w:space="1" w:color="auto"/>
          <w:bottom w:val="single" w:sz="4" w:space="1" w:color="auto"/>
          <w:right w:val="single" w:sz="4" w:space="1" w:color="auto"/>
        </w:pBdr>
        <w:rPr>
          <w:rFonts w:eastAsia="Calibri"/>
        </w:rPr>
      </w:pPr>
      <w:r w:rsidRPr="003859B6">
        <w:rPr>
          <w:rFonts w:eastAsia="Calibri"/>
        </w:rPr>
        <w:t xml:space="preserve">The impact of governance on fisheries and aquaculture management, and ultimately on their performance, is increasingly recognised. Governance has an impact on both the nature of policy decisions and their acceptability to different stakeholders. The </w:t>
      </w:r>
      <w:r w:rsidR="00DD11EE" w:rsidRPr="003859B6">
        <w:rPr>
          <w:rFonts w:eastAsia="Calibri"/>
        </w:rPr>
        <w:t xml:space="preserve">OECD </w:t>
      </w:r>
      <w:r w:rsidRPr="003859B6">
        <w:rPr>
          <w:rFonts w:eastAsia="Calibri"/>
        </w:rPr>
        <w:t>Council Recommendation on Rebuilding, for example, underscores how good governance is a key element to ensuring the success of rebuilding plans. While there is no optimal arrangement for fisheries governance frameworks, a few characteristics are impor</w:t>
      </w:r>
      <w:r w:rsidR="00DE4D2E" w:rsidRPr="003859B6">
        <w:rPr>
          <w:rFonts w:eastAsia="Calibri"/>
        </w:rPr>
        <w:t>tant ingredients for success</w:t>
      </w:r>
      <w:r w:rsidR="00FD36E0" w:rsidRPr="003859B6">
        <w:rPr>
          <w:rFonts w:eastAsia="Calibri"/>
        </w:rPr>
        <w:t>,</w:t>
      </w:r>
      <w:r w:rsidRPr="003859B6">
        <w:rPr>
          <w:rFonts w:eastAsia="Calibri"/>
        </w:rPr>
        <w:t xml:space="preserve"> notably legitimacy and acceptability. </w:t>
      </w:r>
    </w:p>
    <w:p w:rsidR="00B02A67" w:rsidRPr="003859B6" w:rsidRDefault="00B02A67" w:rsidP="00542BF9">
      <w:pPr>
        <w:pStyle w:val="TextBox"/>
        <w:pBdr>
          <w:top w:val="single" w:sz="4" w:space="1" w:color="auto"/>
          <w:left w:val="single" w:sz="4" w:space="1" w:color="auto"/>
          <w:bottom w:val="single" w:sz="4" w:space="1" w:color="auto"/>
          <w:right w:val="single" w:sz="4" w:space="1" w:color="auto"/>
        </w:pBdr>
        <w:rPr>
          <w:rFonts w:eastAsia="Calibri"/>
        </w:rPr>
      </w:pPr>
      <w:r w:rsidRPr="003859B6">
        <w:rPr>
          <w:rFonts w:eastAsia="Calibri"/>
        </w:rPr>
        <w:t xml:space="preserve">Legitimacy relates to the characteristics of the institutional arrangements through which policies are elaborated and implemented: the transparency of procedures in the decision-making process, mechanisms guaranteeing the accountability of institutions with respect to decisions made, and room for scientific information and advice. </w:t>
      </w:r>
    </w:p>
    <w:p w:rsidR="00B02A67" w:rsidRPr="003859B6" w:rsidRDefault="00B02A67" w:rsidP="00542BF9">
      <w:pPr>
        <w:pStyle w:val="TextBox"/>
        <w:pBdr>
          <w:top w:val="single" w:sz="4" w:space="1" w:color="auto"/>
          <w:left w:val="single" w:sz="4" w:space="1" w:color="auto"/>
          <w:bottom w:val="single" w:sz="4" w:space="1" w:color="auto"/>
          <w:right w:val="single" w:sz="4" w:space="1" w:color="auto"/>
        </w:pBdr>
        <w:rPr>
          <w:rFonts w:eastAsia="Calibri"/>
        </w:rPr>
      </w:pPr>
      <w:r w:rsidRPr="003859B6">
        <w:rPr>
          <w:rFonts w:eastAsia="Calibri"/>
        </w:rPr>
        <w:t xml:space="preserve">Acceptability has to do with the perception by stakeholders of the institutional arrangements’ capacity to deliver fair decisions. Acceptability relates to: the degree of delegation in decision-making processes; the space for stakeholders to share available information, express various positions including dissent, and be confident that these voices are explicitly part of the decision-making process; the capacity to integrate or change the norms and beliefs of stakeholders; and the existence of mechanisms of appeal. Building inclusive institutional arrangements oriented towards raising </w:t>
      </w:r>
      <w:r w:rsidR="00FA0671" w:rsidRPr="003859B6">
        <w:rPr>
          <w:rFonts w:eastAsia="Calibri"/>
        </w:rPr>
        <w:t>broad</w:t>
      </w:r>
      <w:r w:rsidR="00DD11EE" w:rsidRPr="003859B6">
        <w:rPr>
          <w:rFonts w:eastAsia="Calibri"/>
        </w:rPr>
        <w:t xml:space="preserve"> </w:t>
      </w:r>
      <w:r w:rsidRPr="003859B6">
        <w:rPr>
          <w:rFonts w:eastAsia="Calibri"/>
        </w:rPr>
        <w:t>consensus is a key to acceptability.</w:t>
      </w:r>
    </w:p>
    <w:p w:rsidR="00B02A67" w:rsidRPr="003859B6" w:rsidRDefault="004B3153" w:rsidP="00730FF4">
      <w:pPr>
        <w:pStyle w:val="Heading3"/>
      </w:pPr>
      <w:bookmarkStart w:id="66" w:name="_Toc472354582"/>
      <w:bookmarkStart w:id="67" w:name="_Toc472954976"/>
      <w:bookmarkStart w:id="68" w:name="_Toc474487632"/>
      <w:r w:rsidRPr="003859B6">
        <w:t>Towards more sustainable</w:t>
      </w:r>
      <w:bookmarkStart w:id="69" w:name="_Toc472936628"/>
      <w:bookmarkEnd w:id="66"/>
      <w:r w:rsidR="00FD4958" w:rsidRPr="003859B6">
        <w:t xml:space="preserve"> aquaculture production</w:t>
      </w:r>
      <w:bookmarkEnd w:id="67"/>
      <w:bookmarkEnd w:id="68"/>
      <w:bookmarkEnd w:id="69"/>
    </w:p>
    <w:p w:rsidR="00C63B7E" w:rsidRPr="003859B6" w:rsidRDefault="0043404E" w:rsidP="00C63B7E">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48</w:instrText>
      </w:r>
      <w:r w:rsidRPr="003859B6">
        <w:fldChar w:fldCharType="end"/>
      </w:r>
      <w:r w:rsidRPr="003859B6">
        <w:instrText>.</w:instrText>
      </w:r>
      <w:r w:rsidRPr="003859B6">
        <w:tab/>
      </w:r>
      <w:r w:rsidRPr="003859B6">
        <w:fldChar w:fldCharType="end"/>
      </w:r>
      <w:r w:rsidR="00C63B7E" w:rsidRPr="003859B6">
        <w:t xml:space="preserve">Limiting environmental externalities of aquaculture production to preserve </w:t>
      </w:r>
      <w:r w:rsidR="00B91D0B" w:rsidRPr="003859B6">
        <w:t xml:space="preserve">both </w:t>
      </w:r>
      <w:r w:rsidR="00C63B7E" w:rsidRPr="003859B6">
        <w:t>the ecosystems on which the sector relies</w:t>
      </w:r>
      <w:r w:rsidR="00B91D0B" w:rsidRPr="003859B6">
        <w:t>,</w:t>
      </w:r>
      <w:r w:rsidR="00C63B7E" w:rsidRPr="003859B6">
        <w:t xml:space="preserve"> and the services</w:t>
      </w:r>
      <w:r w:rsidR="005F4E87" w:rsidRPr="003859B6">
        <w:t xml:space="preserve"> that</w:t>
      </w:r>
      <w:r w:rsidR="00C63B7E" w:rsidRPr="003859B6">
        <w:t xml:space="preserve"> </w:t>
      </w:r>
      <w:r w:rsidR="00B91D0B" w:rsidRPr="003859B6">
        <w:t xml:space="preserve">these systems </w:t>
      </w:r>
      <w:r w:rsidR="00C63B7E" w:rsidRPr="003859B6">
        <w:t xml:space="preserve">supply </w:t>
      </w:r>
      <w:proofErr w:type="gramStart"/>
      <w:r w:rsidR="00C63B7E" w:rsidRPr="003859B6">
        <w:t>to</w:t>
      </w:r>
      <w:proofErr w:type="gramEnd"/>
      <w:r w:rsidR="00C63B7E" w:rsidRPr="003859B6">
        <w:t xml:space="preserve"> many other sectors</w:t>
      </w:r>
      <w:r w:rsidR="00B91D0B" w:rsidRPr="003859B6">
        <w:t>,</w:t>
      </w:r>
      <w:r w:rsidR="00C63B7E" w:rsidRPr="003859B6">
        <w:t xml:space="preserve"> requires both adequate regulation and public support to encourage adoption of best practices. In a report on </w:t>
      </w:r>
      <w:r w:rsidR="00B91D0B" w:rsidRPr="003859B6">
        <w:t xml:space="preserve">green growth </w:t>
      </w:r>
      <w:r w:rsidR="00C63B7E" w:rsidRPr="003859B6">
        <w:t xml:space="preserve">in </w:t>
      </w:r>
      <w:r w:rsidR="00B91D0B" w:rsidRPr="003859B6">
        <w:t xml:space="preserve">fisheries </w:t>
      </w:r>
      <w:r w:rsidR="00C63B7E" w:rsidRPr="003859B6">
        <w:t xml:space="preserve">and </w:t>
      </w:r>
      <w:r w:rsidR="00B91D0B" w:rsidRPr="003859B6">
        <w:t>aquaculture</w:t>
      </w:r>
      <w:r w:rsidR="00C63B7E" w:rsidRPr="003859B6">
        <w:t>, the OECD highlights that the best response to externalities depends on the direction of the externalities caused by aquaculture production</w:t>
      </w:r>
      <w:r w:rsidR="00B92ECD" w:rsidRPr="003859B6">
        <w:t xml:space="preserve"> (OECD, 2015</w:t>
      </w:r>
      <w:r w:rsidR="000B5D74" w:rsidRPr="003859B6">
        <w:t>)</w:t>
      </w:r>
      <w:r w:rsidR="00C63B7E" w:rsidRPr="003859B6">
        <w:t>. While self-interest should lead producers to respond to externalities that affect their own production (local water pollution harming productivity</w:t>
      </w:r>
      <w:r w:rsidR="00B91D0B" w:rsidRPr="003859B6">
        <w:t>, for example</w:t>
      </w:r>
      <w:r w:rsidR="00C63B7E" w:rsidRPr="003859B6">
        <w:t xml:space="preserve">), the more the externality impacts other aqua-farmers or other ecosystem users, the more </w:t>
      </w:r>
      <w:r w:rsidR="00B91D0B" w:rsidRPr="003859B6">
        <w:t xml:space="preserve">that </w:t>
      </w:r>
      <w:r w:rsidR="00C63B7E" w:rsidRPr="003859B6">
        <w:t>public regulation is necessary</w:t>
      </w:r>
      <w:r w:rsidR="00B91D0B" w:rsidRPr="003859B6">
        <w:t>,</w:t>
      </w:r>
      <w:r w:rsidR="00C63B7E" w:rsidRPr="003859B6">
        <w:t xml:space="preserve"> as well as, potentially, support to facilitate the transition to sustainable practices. The industry indeed has an interest in addressing externalities</w:t>
      </w:r>
      <w:r w:rsidR="00B91D0B" w:rsidRPr="003859B6">
        <w:t>,</w:t>
      </w:r>
      <w:r w:rsidR="00C63B7E" w:rsidRPr="003859B6">
        <w:t xml:space="preserve"> as the negative effects reduce profitability and demand in the long run (</w:t>
      </w:r>
      <w:proofErr w:type="spellStart"/>
      <w:r w:rsidR="00C63B7E" w:rsidRPr="003859B6">
        <w:t>Asche</w:t>
      </w:r>
      <w:proofErr w:type="spellEnd"/>
      <w:r w:rsidR="00C63B7E" w:rsidRPr="003859B6">
        <w:t xml:space="preserve">, 2011). </w:t>
      </w:r>
      <w:r w:rsidR="00B91D0B" w:rsidRPr="003859B6">
        <w:t>In Indonesia, however</w:t>
      </w:r>
      <w:r w:rsidR="00C63B7E" w:rsidRPr="003859B6">
        <w:t>, this will mostly hold true</w:t>
      </w:r>
      <w:r w:rsidR="00C63B7E" w:rsidRPr="003859B6" w:rsidDel="00B91D0B">
        <w:t xml:space="preserve"> </w:t>
      </w:r>
      <w:r w:rsidR="00C63B7E" w:rsidRPr="003859B6">
        <w:t>for intensive systems where production must meet the standards expected by export markets and where sufficient capital exists to invest in improvements.</w:t>
      </w:r>
      <w:r w:rsidR="00BA44F7" w:rsidRPr="003859B6">
        <w:t xml:space="preserve"> Extensive production systems, on the other hand, supply local markets where quality is less an issue</w:t>
      </w:r>
      <w:r w:rsidR="00B91D0B" w:rsidRPr="003859B6">
        <w:t>,</w:t>
      </w:r>
      <w:r w:rsidR="00BA44F7" w:rsidRPr="003859B6">
        <w:t xml:space="preserve"> and </w:t>
      </w:r>
      <w:r w:rsidR="007318B3" w:rsidRPr="003859B6">
        <w:t xml:space="preserve">which </w:t>
      </w:r>
      <w:r w:rsidR="00BA44F7" w:rsidRPr="003859B6">
        <w:t>are operated by agents with limited resources and, sometimes, limited capacity to switch to more sustainable production methods.</w:t>
      </w:r>
    </w:p>
    <w:p w:rsidR="0043404E" w:rsidRPr="003859B6" w:rsidRDefault="0043404E" w:rsidP="001B4D4D">
      <w:pPr>
        <w:pStyle w:val="Heading4"/>
        <w:pageBreakBefore/>
      </w:pPr>
      <w:r w:rsidRPr="003859B6">
        <w:t>Aquaculture production externalities</w:t>
      </w:r>
    </w:p>
    <w:p w:rsidR="00476569" w:rsidRPr="003859B6" w:rsidRDefault="00476569" w:rsidP="0043404E">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49</w:instrText>
      </w:r>
      <w:r w:rsidRPr="003859B6">
        <w:fldChar w:fldCharType="end"/>
      </w:r>
      <w:r w:rsidRPr="003859B6">
        <w:instrText>.</w:instrText>
      </w:r>
      <w:r w:rsidRPr="003859B6">
        <w:tab/>
      </w:r>
      <w:r w:rsidRPr="003859B6">
        <w:fldChar w:fldCharType="end"/>
      </w:r>
      <w:r w:rsidR="0043404E" w:rsidRPr="003859B6">
        <w:t xml:space="preserve">Environmental externalities related to aquaculture production </w:t>
      </w:r>
      <w:r w:rsidR="00B0110F" w:rsidRPr="003859B6">
        <w:t>fall into</w:t>
      </w:r>
      <w:r w:rsidRPr="003859B6">
        <w:t xml:space="preserve"> two main categories:</w:t>
      </w:r>
    </w:p>
    <w:p w:rsidR="00476569" w:rsidRPr="003859B6" w:rsidRDefault="00476569" w:rsidP="00476569">
      <w:pPr>
        <w:pStyle w:val="Num-DocParagraph"/>
        <w:numPr>
          <w:ilvl w:val="0"/>
          <w:numId w:val="29"/>
        </w:numPr>
      </w:pPr>
      <w:r w:rsidRPr="003859B6">
        <w:t xml:space="preserve">Establishment </w:t>
      </w:r>
      <w:r w:rsidR="0043404E" w:rsidRPr="003859B6">
        <w:t>impacts, which arise from the conversion of one type of land to another</w:t>
      </w:r>
      <w:r w:rsidR="00B0110F" w:rsidRPr="003859B6">
        <w:t>,</w:t>
      </w:r>
      <w:r w:rsidR="004224E2" w:rsidRPr="003859B6">
        <w:t xml:space="preserve"> </w:t>
      </w:r>
      <w:r w:rsidR="0043404E" w:rsidRPr="003859B6">
        <w:t>such as from agricultural land or coastal habitats to ponds</w:t>
      </w:r>
      <w:r w:rsidR="00B0110F" w:rsidRPr="003859B6">
        <w:t>;</w:t>
      </w:r>
      <w:r w:rsidR="0043404E" w:rsidRPr="003859B6">
        <w:t xml:space="preserve"> and </w:t>
      </w:r>
    </w:p>
    <w:p w:rsidR="00476569" w:rsidRPr="003859B6" w:rsidRDefault="00476569" w:rsidP="00476569">
      <w:pPr>
        <w:pStyle w:val="Num-DocParagraph"/>
        <w:numPr>
          <w:ilvl w:val="0"/>
          <w:numId w:val="29"/>
        </w:numPr>
      </w:pPr>
      <w:r w:rsidRPr="003859B6">
        <w:t xml:space="preserve">Operational </w:t>
      </w:r>
      <w:r w:rsidR="0043404E" w:rsidRPr="003859B6">
        <w:t>impacts, which arise from the day</w:t>
      </w:r>
      <w:r w:rsidR="004224E2" w:rsidRPr="003859B6">
        <w:t>-</w:t>
      </w:r>
      <w:r w:rsidR="0043404E" w:rsidRPr="003859B6">
        <w:t>to</w:t>
      </w:r>
      <w:r w:rsidR="004224E2" w:rsidRPr="003859B6">
        <w:t>-</w:t>
      </w:r>
      <w:r w:rsidR="0043404E" w:rsidRPr="003859B6">
        <w:t xml:space="preserve">day running of an aquaculture business. </w:t>
      </w:r>
    </w:p>
    <w:p w:rsidR="0043404E" w:rsidRPr="003859B6" w:rsidRDefault="00476569" w:rsidP="0043404E">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50</w:instrText>
      </w:r>
      <w:r w:rsidRPr="003859B6">
        <w:fldChar w:fldCharType="end"/>
      </w:r>
      <w:r w:rsidRPr="003859B6">
        <w:instrText>.</w:instrText>
      </w:r>
      <w:r w:rsidRPr="003859B6">
        <w:tab/>
      </w:r>
      <w:r w:rsidRPr="003859B6">
        <w:fldChar w:fldCharType="end"/>
      </w:r>
      <w:r w:rsidR="0043404E" w:rsidRPr="003859B6">
        <w:t xml:space="preserve">The extensive nature of most aquaculture production in Indonesia means that, to date, Indonesia has </w:t>
      </w:r>
      <w:r w:rsidR="004224E2" w:rsidRPr="003859B6">
        <w:t xml:space="preserve">mostly </w:t>
      </w:r>
      <w:r w:rsidR="0043404E" w:rsidRPr="003859B6">
        <w:t>suffer</w:t>
      </w:r>
      <w:r w:rsidR="004224E2" w:rsidRPr="003859B6">
        <w:t>ed</w:t>
      </w:r>
      <w:r w:rsidR="0043404E" w:rsidRPr="003859B6" w:rsidDel="004224E2">
        <w:t xml:space="preserve"> </w:t>
      </w:r>
      <w:r w:rsidR="0043404E" w:rsidRPr="003859B6">
        <w:t>from establishment impacts, which include the removal of pre-existing habitat as well as long</w:t>
      </w:r>
      <w:r w:rsidR="004224E2" w:rsidRPr="003859B6">
        <w:t>-</w:t>
      </w:r>
      <w:r w:rsidR="0043404E" w:rsidRPr="003859B6">
        <w:t>term impacts on water and land quality. Indeed, traditional farms, where extensive production is practiced, have relatively few operational impacts, as there is little water exchange and almost no use of fertilisers or feed inputs due to their prohibitive cost for small-scale aqua-farmers. However, clusters of small farms can have a significant impact within a watershed or enclosed waterbody, when concentration levels exceed the carrying capacity of the ecosystem.</w:t>
      </w:r>
      <w:r w:rsidR="004224E2" w:rsidRPr="003859B6">
        <w:t xml:space="preserve"> </w:t>
      </w:r>
    </w:p>
    <w:p w:rsidR="0043404E" w:rsidRPr="003859B6" w:rsidRDefault="0043404E" w:rsidP="0043404E">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51</w:instrText>
      </w:r>
      <w:r w:rsidRPr="003859B6">
        <w:fldChar w:fldCharType="end"/>
      </w:r>
      <w:r w:rsidRPr="003859B6">
        <w:instrText>.</w:instrText>
      </w:r>
      <w:r w:rsidRPr="003859B6">
        <w:tab/>
      </w:r>
      <w:r w:rsidRPr="003859B6">
        <w:fldChar w:fldCharType="end"/>
      </w:r>
      <w:r w:rsidRPr="003859B6">
        <w:t>On the other hand, most of Indonesia’s shrimp production</w:t>
      </w:r>
      <w:r w:rsidR="005629A7" w:rsidRPr="003859B6">
        <w:t xml:space="preserve"> –</w:t>
      </w:r>
      <w:r w:rsidRPr="003859B6">
        <w:t xml:space="preserve"> its most valuable seafood export</w:t>
      </w:r>
      <w:r w:rsidR="005629A7" w:rsidRPr="003859B6">
        <w:t xml:space="preserve"> –</w:t>
      </w:r>
      <w:r w:rsidRPr="003859B6">
        <w:t xml:space="preserve"> comes from modernised farms. Semi-intensive or intensive farms have greater operational impacts, such as disease and nutrient release from aquaculture ponds and eutrophication near cages due to limited water circulation, possibly with implications for other sectors such as tourism in coastal areas or agriculture inland (</w:t>
      </w:r>
      <w:proofErr w:type="spellStart"/>
      <w:r w:rsidRPr="003859B6">
        <w:t>Rimmer</w:t>
      </w:r>
      <w:proofErr w:type="spellEnd"/>
      <w:r w:rsidRPr="003859B6">
        <w:t xml:space="preserve"> et al</w:t>
      </w:r>
      <w:r w:rsidR="00AC2E68" w:rsidRPr="003859B6">
        <w:t>.</w:t>
      </w:r>
      <w:r w:rsidRPr="003859B6">
        <w:t>, 2013). Pellet feed and aeration are indeed necessary to support high stocking densities, as are fertiliser, chemical and probiotic use to limit disease. These interventions produce high levels of organic waste</w:t>
      </w:r>
      <w:r w:rsidR="005629A7" w:rsidRPr="003859B6">
        <w:t>,</w:t>
      </w:r>
      <w:r w:rsidRPr="003859B6">
        <w:t xml:space="preserve"> and may have around twice the environmental impact per shrimp than those grown using less</w:t>
      </w:r>
      <w:r w:rsidR="005629A7" w:rsidRPr="003859B6">
        <w:t>-</w:t>
      </w:r>
      <w:r w:rsidRPr="003859B6">
        <w:t>intensive methods (Cao et al</w:t>
      </w:r>
      <w:r w:rsidR="00AC2E68" w:rsidRPr="003859B6">
        <w:t>.</w:t>
      </w:r>
      <w:r w:rsidRPr="003859B6">
        <w:t>, 2011). Further operational impacts include the health and environmental effects of antibiotic use</w:t>
      </w:r>
      <w:r w:rsidR="005629A7" w:rsidRPr="003859B6">
        <w:t>. A</w:t>
      </w:r>
      <w:r w:rsidR="00F36655" w:rsidRPr="003859B6">
        <w:t>lthough a</w:t>
      </w:r>
      <w:r w:rsidR="005629A7" w:rsidRPr="003859B6">
        <w:t>ntibiotics</w:t>
      </w:r>
      <w:r w:rsidRPr="003859B6">
        <w:t xml:space="preserve"> are usually given to prevent or combat disease</w:t>
      </w:r>
      <w:r w:rsidR="00F36655" w:rsidRPr="003859B6">
        <w:t>, their use</w:t>
      </w:r>
      <w:r w:rsidRPr="003859B6">
        <w:t xml:space="preserve"> </w:t>
      </w:r>
      <w:r w:rsidR="00F36655" w:rsidRPr="003859B6">
        <w:t>poses risks</w:t>
      </w:r>
      <w:r w:rsidRPr="003859B6" w:rsidDel="00F36655">
        <w:t xml:space="preserve"> </w:t>
      </w:r>
      <w:r w:rsidR="00F36655" w:rsidRPr="003859B6">
        <w:t xml:space="preserve">due to the </w:t>
      </w:r>
      <w:r w:rsidRPr="003859B6">
        <w:t xml:space="preserve">high stocking density in intensive systems, </w:t>
      </w:r>
      <w:r w:rsidR="00F36655" w:rsidRPr="003859B6">
        <w:t>which can result in</w:t>
      </w:r>
      <w:r w:rsidRPr="003859B6">
        <w:t xml:space="preserve"> leeching into local water supplies or residues found in the finished product. As intensity increases, Indonesia will become more vulnerable to both an abrupt shock</w:t>
      </w:r>
      <w:r w:rsidRPr="003859B6" w:rsidDel="00F36655">
        <w:t xml:space="preserve"> </w:t>
      </w:r>
      <w:r w:rsidR="00F36655" w:rsidRPr="003859B6">
        <w:t xml:space="preserve">– </w:t>
      </w:r>
      <w:r w:rsidRPr="003859B6">
        <w:t>such as disease</w:t>
      </w:r>
      <w:r w:rsidR="00F36655" w:rsidRPr="003859B6">
        <w:t xml:space="preserve"> –</w:t>
      </w:r>
      <w:r w:rsidRPr="003859B6">
        <w:t xml:space="preserve"> and a slower degradation of the environment</w:t>
      </w:r>
      <w:r w:rsidR="00F36655" w:rsidRPr="003859B6">
        <w:t>,</w:t>
      </w:r>
      <w:r w:rsidRPr="003859B6">
        <w:t xml:space="preserve"> leading to an ecosystem collapse. Getting aquaculture right at the policy level is therefore critical for the sustainability of future production. </w:t>
      </w:r>
    </w:p>
    <w:p w:rsidR="0043404E" w:rsidRPr="003859B6" w:rsidRDefault="0043404E" w:rsidP="0043404E">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52</w:instrText>
      </w:r>
      <w:r w:rsidRPr="003859B6">
        <w:fldChar w:fldCharType="end"/>
      </w:r>
      <w:r w:rsidRPr="003859B6">
        <w:instrText>.</w:instrText>
      </w:r>
      <w:r w:rsidRPr="003859B6">
        <w:tab/>
      </w:r>
      <w:r w:rsidRPr="003859B6">
        <w:fldChar w:fldCharType="end"/>
      </w:r>
      <w:r w:rsidRPr="003859B6">
        <w:t>Foreseen further growth of shrimp production also raises concern</w:t>
      </w:r>
      <w:r w:rsidR="00F36655" w:rsidRPr="003859B6">
        <w:t>s</w:t>
      </w:r>
      <w:r w:rsidRPr="003859B6">
        <w:t xml:space="preserve"> for the sustainability of forage fish stocks. Carnivorous species such as shrimp are very demanding in fish meal and oil when raised in intensive conditions. Feed accounts for over 50% of production costs in some cases (</w:t>
      </w:r>
      <w:proofErr w:type="spellStart"/>
      <w:r w:rsidRPr="003859B6">
        <w:t>Rana</w:t>
      </w:r>
      <w:proofErr w:type="spellEnd"/>
      <w:r w:rsidR="00B92ECD" w:rsidRPr="003859B6">
        <w:t xml:space="preserve">, </w:t>
      </w:r>
      <w:proofErr w:type="spellStart"/>
      <w:r w:rsidR="00B92ECD" w:rsidRPr="003859B6">
        <w:t>Siriwardena</w:t>
      </w:r>
      <w:proofErr w:type="spellEnd"/>
      <w:r w:rsidRPr="003859B6">
        <w:t xml:space="preserve"> </w:t>
      </w:r>
      <w:r w:rsidR="00B92ECD" w:rsidRPr="003859B6">
        <w:t>and Hasan,</w:t>
      </w:r>
      <w:r w:rsidRPr="003859B6">
        <w:t xml:space="preserve"> 2009). Given</w:t>
      </w:r>
      <w:r w:rsidR="00F36655" w:rsidRPr="003859B6">
        <w:t xml:space="preserve"> the</w:t>
      </w:r>
      <w:r w:rsidRPr="003859B6">
        <w:t xml:space="preserve"> insufficient regulation of capture fisheries, this has the potential to have negative effects on stocks and on the production of edible supplies from marine capture fisheries. Substitutes for fish meal and oil are needed as the sub-sector expands, </w:t>
      </w:r>
      <w:r w:rsidR="00F36655" w:rsidRPr="003859B6">
        <w:t>requiring</w:t>
      </w:r>
      <w:r w:rsidRPr="003859B6">
        <w:t xml:space="preserve"> research and innovation.</w:t>
      </w:r>
    </w:p>
    <w:p w:rsidR="00B02A67" w:rsidRPr="003859B6" w:rsidRDefault="00A924E6" w:rsidP="0043404E">
      <w:pPr>
        <w:pStyle w:val="Num-DocParagraph"/>
        <w:rPr>
          <w:i/>
        </w:rPr>
      </w:pPr>
      <w:r w:rsidRPr="003859B6">
        <w:rPr>
          <w:i/>
        </w:rPr>
        <w:t>Strengthening</w:t>
      </w:r>
      <w:r w:rsidR="00320681" w:rsidRPr="003859B6">
        <w:rPr>
          <w:i/>
        </w:rPr>
        <w:t xml:space="preserve"> </w:t>
      </w:r>
      <w:r w:rsidRPr="003859B6">
        <w:rPr>
          <w:i/>
        </w:rPr>
        <w:t xml:space="preserve">aquaculture </w:t>
      </w:r>
      <w:r w:rsidR="003B21D5" w:rsidRPr="003859B6">
        <w:rPr>
          <w:i/>
        </w:rPr>
        <w:t xml:space="preserve">management </w:t>
      </w:r>
    </w:p>
    <w:p w:rsidR="00527E22" w:rsidRPr="003859B6" w:rsidRDefault="00527E22" w:rsidP="00F86F4B">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53</w:instrText>
      </w:r>
      <w:r w:rsidRPr="003859B6">
        <w:fldChar w:fldCharType="end"/>
      </w:r>
      <w:r w:rsidRPr="003859B6">
        <w:instrText>.</w:instrText>
      </w:r>
      <w:r w:rsidRPr="003859B6">
        <w:tab/>
      </w:r>
      <w:r w:rsidRPr="003859B6">
        <w:fldChar w:fldCharType="end"/>
      </w:r>
      <w:r w:rsidRPr="003859B6">
        <w:t>The regulation of a</w:t>
      </w:r>
      <w:r w:rsidR="0043404E" w:rsidRPr="003859B6">
        <w:t xml:space="preserve">quaculture production </w:t>
      </w:r>
      <w:r w:rsidRPr="003859B6">
        <w:t xml:space="preserve">is a shared responsibility of MMAF and the Ministry of Environment and Forestry, which is </w:t>
      </w:r>
      <w:r w:rsidR="00E374D9" w:rsidRPr="003859B6">
        <w:t xml:space="preserve">responsible for aquaculture </w:t>
      </w:r>
      <w:r w:rsidR="00936DA8" w:rsidRPr="003859B6">
        <w:t xml:space="preserve">environmental </w:t>
      </w:r>
      <w:r w:rsidR="00E374D9" w:rsidRPr="003859B6">
        <w:t xml:space="preserve">impact </w:t>
      </w:r>
      <w:r w:rsidR="00936DA8" w:rsidRPr="003859B6">
        <w:t>control</w:t>
      </w:r>
      <w:r w:rsidRPr="003859B6">
        <w:t>.</w:t>
      </w:r>
      <w:r w:rsidR="00F86F4B" w:rsidRPr="003859B6">
        <w:t xml:space="preserve"> </w:t>
      </w:r>
      <w:r w:rsidRPr="003859B6">
        <w:t>Three main policies are used: mandatory ex-ante impact assessment, spatial limitations and restrictions on production practices.</w:t>
      </w:r>
    </w:p>
    <w:p w:rsidR="00DD5662" w:rsidRPr="003859B6" w:rsidRDefault="00527E22" w:rsidP="00F86F4B">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54</w:instrText>
      </w:r>
      <w:r w:rsidRPr="003859B6">
        <w:fldChar w:fldCharType="end"/>
      </w:r>
      <w:r w:rsidRPr="003859B6">
        <w:instrText>.</w:instrText>
      </w:r>
      <w:r w:rsidRPr="003859B6">
        <w:tab/>
      </w:r>
      <w:r w:rsidRPr="003859B6">
        <w:fldChar w:fldCharType="end"/>
      </w:r>
      <w:r w:rsidRPr="003859B6">
        <w:t xml:space="preserve"> </w:t>
      </w:r>
      <w:r w:rsidR="00476569" w:rsidRPr="003859B6">
        <w:t xml:space="preserve">The </w:t>
      </w:r>
      <w:r w:rsidR="00994229" w:rsidRPr="003859B6">
        <w:t>Environment and Forestry Law 23</w:t>
      </w:r>
      <w:r w:rsidR="00F36655" w:rsidRPr="003859B6">
        <w:t>/</w:t>
      </w:r>
      <w:r w:rsidR="00E374D9" w:rsidRPr="003859B6">
        <w:t>2009 requires</w:t>
      </w:r>
      <w:r w:rsidR="00B02A67" w:rsidRPr="003859B6">
        <w:t xml:space="preserve"> environmental impact assessment</w:t>
      </w:r>
      <w:r w:rsidRPr="003859B6">
        <w:t>s</w:t>
      </w:r>
      <w:r w:rsidR="00B02A67" w:rsidRPr="003859B6">
        <w:t xml:space="preserve"> to be performed for the creation of any aquaculture development with an area of 50 ha or more</w:t>
      </w:r>
      <w:r w:rsidR="00E374D9" w:rsidRPr="003859B6">
        <w:t xml:space="preserve"> for shrimp ponds</w:t>
      </w:r>
      <w:r w:rsidR="00F36655" w:rsidRPr="003859B6">
        <w:t xml:space="preserve">, </w:t>
      </w:r>
      <w:r w:rsidR="00E374D9" w:rsidRPr="003859B6">
        <w:t>more than 500</w:t>
      </w:r>
      <w:r w:rsidR="00B02A67" w:rsidRPr="003859B6">
        <w:t xml:space="preserve"> floating net cages on lakes </w:t>
      </w:r>
      <w:r w:rsidR="00E374D9" w:rsidRPr="003859B6">
        <w:t>or reservoirs</w:t>
      </w:r>
      <w:r w:rsidR="00F36655" w:rsidRPr="003859B6">
        <w:t>,</w:t>
      </w:r>
      <w:r w:rsidR="00B02A67" w:rsidRPr="003859B6">
        <w:t xml:space="preserve"> </w:t>
      </w:r>
      <w:r w:rsidR="00E374D9" w:rsidRPr="003859B6">
        <w:t xml:space="preserve">or floating net cage installations in sea water covering more </w:t>
      </w:r>
      <w:r w:rsidR="00330D69" w:rsidRPr="003859B6">
        <w:t xml:space="preserve">than </w:t>
      </w:r>
      <w:r w:rsidR="00E374D9" w:rsidRPr="003859B6">
        <w:t xml:space="preserve">5 ha or </w:t>
      </w:r>
      <w:r w:rsidR="00F36655" w:rsidRPr="003859B6">
        <w:t xml:space="preserve">consisting of </w:t>
      </w:r>
      <w:r w:rsidR="00E374D9" w:rsidRPr="003859B6">
        <w:t xml:space="preserve">over 1 000 </w:t>
      </w:r>
      <w:r w:rsidR="00B02A67" w:rsidRPr="003859B6">
        <w:t>cages</w:t>
      </w:r>
      <w:r w:rsidR="00936DA8" w:rsidRPr="003859B6">
        <w:t>.</w:t>
      </w:r>
      <w:r w:rsidR="00B02A67" w:rsidRPr="003859B6">
        <w:t xml:space="preserve"> </w:t>
      </w:r>
      <w:r w:rsidR="00F86F4B" w:rsidRPr="003859B6">
        <w:t>For smaller-scale farms, installation is regulated by the obligation, for all aqua-farmers, to request an aquaculture business licen</w:t>
      </w:r>
      <w:r w:rsidR="00467B7F" w:rsidRPr="003859B6">
        <w:t>c</w:t>
      </w:r>
      <w:r w:rsidR="00F86F4B" w:rsidRPr="003859B6">
        <w:t xml:space="preserve">e directly from the </w:t>
      </w:r>
      <w:r w:rsidR="00BB76A8" w:rsidRPr="003859B6">
        <w:t xml:space="preserve">ministry </w:t>
      </w:r>
      <w:r w:rsidR="00F86F4B" w:rsidRPr="003859B6">
        <w:t>or from regional authorities, depending on the scale of the production unit.</w:t>
      </w:r>
      <w:r w:rsidR="000950F2" w:rsidRPr="003859B6">
        <w:t xml:space="preserve"> </w:t>
      </w:r>
      <w:r w:rsidR="00BB76A8" w:rsidRPr="003859B6">
        <w:t xml:space="preserve">Nevertheless, a </w:t>
      </w:r>
      <w:r w:rsidR="000950F2" w:rsidRPr="003859B6">
        <w:t xml:space="preserve">major weakness of this system is that, while </w:t>
      </w:r>
      <w:r w:rsidR="00BB76A8" w:rsidRPr="003859B6">
        <w:t xml:space="preserve">the </w:t>
      </w:r>
      <w:r w:rsidR="000950F2" w:rsidRPr="003859B6">
        <w:t xml:space="preserve">impact assessment of big aquaculture plants should be followed </w:t>
      </w:r>
      <w:r w:rsidR="00BB76A8" w:rsidRPr="003859B6">
        <w:t xml:space="preserve">by </w:t>
      </w:r>
      <w:r w:rsidR="000950F2" w:rsidRPr="003859B6">
        <w:t xml:space="preserve">regular monitoring, further evaluation is </w:t>
      </w:r>
      <w:r w:rsidR="00BB76A8" w:rsidRPr="003859B6">
        <w:t xml:space="preserve">currently </w:t>
      </w:r>
      <w:r w:rsidR="000950F2" w:rsidRPr="003859B6">
        <w:t>only completed in the case of a complaint from the local community.</w:t>
      </w:r>
    </w:p>
    <w:p w:rsidR="00816AE2" w:rsidRPr="003859B6" w:rsidRDefault="00DD5662" w:rsidP="00F86F4B">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55</w:instrText>
      </w:r>
      <w:r w:rsidRPr="003859B6">
        <w:fldChar w:fldCharType="end"/>
      </w:r>
      <w:r w:rsidRPr="003859B6">
        <w:instrText>.</w:instrText>
      </w:r>
      <w:r w:rsidRPr="003859B6">
        <w:tab/>
      </w:r>
      <w:r w:rsidRPr="003859B6">
        <w:fldChar w:fldCharType="end"/>
      </w:r>
      <w:r w:rsidR="00816AE2" w:rsidRPr="003859B6">
        <w:t>In addition, a number of spatial limitations apply to all producers. The main regulations include Ministerial Decree KEP 28/MEN/2004</w:t>
      </w:r>
      <w:r w:rsidR="007A667E" w:rsidRPr="003859B6">
        <w:t>,</w:t>
      </w:r>
      <w:r w:rsidR="00816AE2" w:rsidRPr="003859B6">
        <w:t xml:space="preserve"> </w:t>
      </w:r>
      <w:r w:rsidR="00F86F4B" w:rsidRPr="003859B6">
        <w:t xml:space="preserve">which </w:t>
      </w:r>
      <w:r w:rsidR="00816AE2" w:rsidRPr="003859B6">
        <w:t>regulates shrimp culture in brackish water ponds</w:t>
      </w:r>
      <w:r w:rsidR="00F86F4B" w:rsidRPr="003859B6">
        <w:t>;</w:t>
      </w:r>
      <w:r w:rsidR="00816AE2" w:rsidRPr="003859B6">
        <w:t xml:space="preserve"> Regulation 5/2014 on water quality standard of effluents for aquaculture ponds</w:t>
      </w:r>
      <w:r w:rsidR="00F86F4B" w:rsidRPr="003859B6">
        <w:t>;</w:t>
      </w:r>
      <w:r w:rsidR="00816AE2" w:rsidRPr="003859B6">
        <w:t xml:space="preserve"> and Law 26/2007 concerning spatial planning of land use. </w:t>
      </w:r>
      <w:r w:rsidR="00B41260" w:rsidRPr="003859B6">
        <w:t>These regulations</w:t>
      </w:r>
      <w:r w:rsidR="00816AE2" w:rsidRPr="003859B6">
        <w:t xml:space="preserve"> </w:t>
      </w:r>
      <w:r w:rsidR="007A667E" w:rsidRPr="003859B6">
        <w:t>require</w:t>
      </w:r>
      <w:r w:rsidR="00816AE2" w:rsidRPr="003859B6">
        <w:t xml:space="preserve"> </w:t>
      </w:r>
      <w:r w:rsidR="007A667E" w:rsidRPr="003859B6">
        <w:t xml:space="preserve">for example </w:t>
      </w:r>
      <w:r w:rsidR="00816AE2" w:rsidRPr="003859B6">
        <w:t>that brackish water farms are not permitted within a 100</w:t>
      </w:r>
      <w:r w:rsidR="007A667E" w:rsidRPr="003859B6">
        <w:t>-</w:t>
      </w:r>
      <w:r w:rsidR="00816AE2" w:rsidRPr="003859B6">
        <w:t>metre green belt adjacent to coastal waterways to protect mangroves (</w:t>
      </w:r>
      <w:proofErr w:type="spellStart"/>
      <w:r w:rsidR="00816AE2" w:rsidRPr="003859B6">
        <w:t>Rimmer</w:t>
      </w:r>
      <w:proofErr w:type="spellEnd"/>
      <w:r w:rsidR="00816AE2" w:rsidRPr="003859B6">
        <w:t xml:space="preserve"> et al</w:t>
      </w:r>
      <w:r w:rsidR="00AC2E68" w:rsidRPr="003859B6">
        <w:t>.,</w:t>
      </w:r>
      <w:r w:rsidR="00816AE2" w:rsidRPr="003859B6">
        <w:t xml:space="preserve"> 2013</w:t>
      </w:r>
      <w:r w:rsidR="00B41260" w:rsidRPr="003859B6">
        <w:t>).</w:t>
      </w:r>
      <w:r w:rsidR="007A667E" w:rsidRPr="003859B6">
        <w:t xml:space="preserve"> </w:t>
      </w:r>
    </w:p>
    <w:p w:rsidR="00816AE2" w:rsidRPr="003859B6" w:rsidRDefault="00320681" w:rsidP="00320681">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56</w:instrText>
      </w:r>
      <w:r w:rsidRPr="003859B6">
        <w:fldChar w:fldCharType="end"/>
      </w:r>
      <w:r w:rsidRPr="003859B6">
        <w:instrText>.</w:instrText>
      </w:r>
      <w:r w:rsidRPr="003859B6">
        <w:tab/>
      </w:r>
      <w:r w:rsidRPr="003859B6">
        <w:fldChar w:fldCharType="end"/>
      </w:r>
      <w:r w:rsidR="00667965" w:rsidRPr="003859B6">
        <w:t xml:space="preserve">However, spatial planning </w:t>
      </w:r>
      <w:r w:rsidR="00476569" w:rsidRPr="003859B6">
        <w:t>measures are</w:t>
      </w:r>
      <w:r w:rsidR="00667965" w:rsidRPr="003859B6">
        <w:t xml:space="preserve"> undermined by</w:t>
      </w:r>
      <w:r w:rsidRPr="003859B6">
        <w:t xml:space="preserve"> lack of data. </w:t>
      </w:r>
      <w:r w:rsidR="00816AE2" w:rsidRPr="003859B6">
        <w:t xml:space="preserve">While careful site selection </w:t>
      </w:r>
      <w:r w:rsidRPr="003859B6">
        <w:t xml:space="preserve">and spatial restrictions </w:t>
      </w:r>
      <w:r w:rsidR="00816AE2" w:rsidRPr="003859B6">
        <w:t>should be based on estimation of the carrying capacity of the environment in order to ensure that production does not exceed what the local ecosystem can support (</w:t>
      </w:r>
      <w:proofErr w:type="spellStart"/>
      <w:r w:rsidR="00816AE2" w:rsidRPr="003859B6">
        <w:t>Santosa</w:t>
      </w:r>
      <w:proofErr w:type="spellEnd"/>
      <w:r w:rsidR="00816AE2" w:rsidRPr="003859B6">
        <w:t xml:space="preserve">, 2013), in practice, carrying capacities are administratively stipulated on the basis of poor information. </w:t>
      </w:r>
      <w:r w:rsidRPr="003859B6">
        <w:t>This is because</w:t>
      </w:r>
      <w:r w:rsidR="00816AE2" w:rsidRPr="003859B6">
        <w:t xml:space="preserve"> the reliable data necessary for trustworthy modelling output is lacking. Since spatial planning on both land and at sea has been decentralised to provincial and district levels (with Laws 54/2003 and 32/2004), no clear mandate for information gathering and monitoring has been given</w:t>
      </w:r>
      <w:r w:rsidR="00330D69" w:rsidRPr="003859B6">
        <w:t>. As a result,</w:t>
      </w:r>
      <w:r w:rsidR="00816AE2" w:rsidRPr="003859B6">
        <w:t xml:space="preserve"> neither the national government nor the local governments </w:t>
      </w:r>
      <w:r w:rsidR="00241D62" w:rsidRPr="003859B6">
        <w:t xml:space="preserve">appear </w:t>
      </w:r>
      <w:r w:rsidR="00816AE2" w:rsidRPr="003859B6">
        <w:t>to be collecting information on the location of activities and monitoring of their impacts and performance or on the use and performance of spatial planning at the local level. Such lack of information also means that best practices in terms of sustainability cannot be adequately identified and disseminated by extension services. Clear allocation of responsibilities between the central, provincial and district authorities</w:t>
      </w:r>
      <w:r w:rsidR="00E51DE8" w:rsidRPr="003859B6">
        <w:t>,</w:t>
      </w:r>
      <w:r w:rsidR="00816AE2" w:rsidRPr="003859B6">
        <w:t xml:space="preserve"> and improved co</w:t>
      </w:r>
      <w:r w:rsidR="00E51DE8" w:rsidRPr="003859B6">
        <w:t>-</w:t>
      </w:r>
      <w:r w:rsidR="00816AE2" w:rsidRPr="003859B6">
        <w:t xml:space="preserve">operation and information sharing between these administrations would greatly improve the capacity of public authorities to promote </w:t>
      </w:r>
      <w:r w:rsidR="00E51DE8" w:rsidRPr="003859B6">
        <w:t xml:space="preserve">the </w:t>
      </w:r>
      <w:r w:rsidR="00816AE2" w:rsidRPr="003859B6">
        <w:t>sustainable use of resources and help limit the cost of public action.</w:t>
      </w:r>
    </w:p>
    <w:p w:rsidR="00C932A6" w:rsidRPr="003859B6" w:rsidRDefault="00C932A6" w:rsidP="002F227C">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57</w:instrText>
      </w:r>
      <w:r w:rsidRPr="003859B6">
        <w:fldChar w:fldCharType="end"/>
      </w:r>
      <w:r w:rsidRPr="003859B6">
        <w:instrText>.</w:instrText>
      </w:r>
      <w:r w:rsidRPr="003859B6">
        <w:tab/>
      </w:r>
      <w:r w:rsidRPr="003859B6">
        <w:fldChar w:fldCharType="end"/>
      </w:r>
      <w:r w:rsidR="009E306B" w:rsidRPr="003859B6">
        <w:t>Finally, to address</w:t>
      </w:r>
      <w:r w:rsidR="00816AE2" w:rsidRPr="003859B6">
        <w:t xml:space="preserve"> operational impact, </w:t>
      </w:r>
      <w:r w:rsidR="009E306B" w:rsidRPr="003859B6">
        <w:t xml:space="preserve">the use of </w:t>
      </w:r>
      <w:r w:rsidR="00B41260" w:rsidRPr="003859B6">
        <w:t>f</w:t>
      </w:r>
      <w:r w:rsidR="000F581A" w:rsidRPr="003859B6">
        <w:t>ish drug</w:t>
      </w:r>
      <w:r w:rsidR="009E306B" w:rsidRPr="003859B6">
        <w:t>s</w:t>
      </w:r>
      <w:r w:rsidR="000F581A" w:rsidRPr="003859B6">
        <w:t xml:space="preserve"> </w:t>
      </w:r>
      <w:r w:rsidR="009E306B" w:rsidRPr="003859B6">
        <w:t>is</w:t>
      </w:r>
      <w:r w:rsidR="000F581A" w:rsidRPr="003859B6">
        <w:t xml:space="preserve"> regulated by Ministerial Decrees 52/KEPMEN-KP/2014 </w:t>
      </w:r>
      <w:r w:rsidR="009E306B" w:rsidRPr="003859B6">
        <w:t xml:space="preserve">(drug classification) and </w:t>
      </w:r>
      <w:r w:rsidR="000F581A" w:rsidRPr="003859B6">
        <w:t>Ministerial Regulation PER.04/MEN/2012</w:t>
      </w:r>
      <w:r w:rsidR="009E306B" w:rsidRPr="003859B6">
        <w:t xml:space="preserve"> (registration for use)</w:t>
      </w:r>
      <w:r w:rsidR="00A1134F" w:rsidRPr="003859B6">
        <w:t>. T</w:t>
      </w:r>
      <w:r w:rsidR="00816AE2" w:rsidRPr="003859B6">
        <w:t>he</w:t>
      </w:r>
      <w:r w:rsidR="00A1134F" w:rsidRPr="003859B6" w:rsidDel="00E51DE8">
        <w:t xml:space="preserve"> </w:t>
      </w:r>
      <w:r w:rsidR="00E51DE8" w:rsidRPr="003859B6">
        <w:t xml:space="preserve">government has </w:t>
      </w:r>
      <w:r w:rsidR="00A1134F" w:rsidRPr="003859B6">
        <w:t>also</w:t>
      </w:r>
      <w:r w:rsidR="00816AE2" w:rsidRPr="003859B6">
        <w:t xml:space="preserve"> recently </w:t>
      </w:r>
      <w:r w:rsidR="00E51DE8" w:rsidRPr="003859B6">
        <w:t>established</w:t>
      </w:r>
      <w:r w:rsidR="00330D69" w:rsidRPr="003859B6">
        <w:t>,</w:t>
      </w:r>
      <w:r w:rsidR="00816AE2" w:rsidRPr="003859B6">
        <w:t xml:space="preserve"> </w:t>
      </w:r>
      <w:r w:rsidR="000524ED" w:rsidRPr="003859B6">
        <w:t>with the support of the European Commission</w:t>
      </w:r>
      <w:r w:rsidR="00330D69" w:rsidRPr="003859B6">
        <w:t>,</w:t>
      </w:r>
      <w:r w:rsidR="000524ED" w:rsidRPr="003859B6">
        <w:t xml:space="preserve"> </w:t>
      </w:r>
      <w:r w:rsidR="00816AE2" w:rsidRPr="003859B6">
        <w:t xml:space="preserve">a National Plan for Residue Monitoring </w:t>
      </w:r>
      <w:r w:rsidR="000F581A" w:rsidRPr="003859B6">
        <w:t>to control the presence of</w:t>
      </w:r>
      <w:r w:rsidR="00816AE2" w:rsidRPr="003859B6">
        <w:t xml:space="preserve"> antibiotic</w:t>
      </w:r>
      <w:r w:rsidR="00E51DE8" w:rsidRPr="003859B6">
        <w:t>s</w:t>
      </w:r>
      <w:r w:rsidR="00816AE2" w:rsidRPr="003859B6">
        <w:t xml:space="preserve"> and other contaminants </w:t>
      </w:r>
      <w:r w:rsidR="000F581A" w:rsidRPr="003859B6">
        <w:t>(on the basis of M</w:t>
      </w:r>
      <w:r w:rsidR="00816AE2" w:rsidRPr="003859B6">
        <w:t>inisterial Regulation 39/PERMEN-KP/2015</w:t>
      </w:r>
      <w:r w:rsidR="000F581A" w:rsidRPr="003859B6">
        <w:t>)</w:t>
      </w:r>
      <w:r w:rsidR="00816AE2" w:rsidRPr="003859B6">
        <w:t>.</w:t>
      </w:r>
      <w:r w:rsidR="000F581A" w:rsidRPr="003859B6">
        <w:t xml:space="preserve"> </w:t>
      </w:r>
      <w:r w:rsidR="00330D69" w:rsidRPr="003859B6">
        <w:t xml:space="preserve">Presence of contaminants, notably chemical residues, has been a major issue for </w:t>
      </w:r>
      <w:r w:rsidR="00E51DE8" w:rsidRPr="003859B6">
        <w:t xml:space="preserve">the </w:t>
      </w:r>
      <w:r w:rsidR="00330D69" w:rsidRPr="003859B6">
        <w:t>export of Indonesian seafood</w:t>
      </w:r>
      <w:r w:rsidR="00E51DE8" w:rsidRPr="003859B6">
        <w:t>,</w:t>
      </w:r>
      <w:r w:rsidR="00330D69" w:rsidRPr="003859B6">
        <w:t xml:space="preserve"> </w:t>
      </w:r>
      <w:r w:rsidR="00E9530C" w:rsidRPr="003859B6">
        <w:t xml:space="preserve">notably </w:t>
      </w:r>
      <w:r w:rsidR="00330D69" w:rsidRPr="003859B6">
        <w:t xml:space="preserve">to the United States, where they have faced high </w:t>
      </w:r>
      <w:r w:rsidR="002A4969" w:rsidRPr="003859B6">
        <w:t xml:space="preserve">rejection </w:t>
      </w:r>
      <w:r w:rsidR="00330D69" w:rsidRPr="003859B6">
        <w:t xml:space="preserve">rates. </w:t>
      </w:r>
      <w:r w:rsidR="000F581A" w:rsidRPr="003859B6">
        <w:t xml:space="preserve">Following a recommendation of the World Animal </w:t>
      </w:r>
      <w:r w:rsidR="00FD295B" w:rsidRPr="003859B6">
        <w:t xml:space="preserve">Health Organisation (OIE), the </w:t>
      </w:r>
      <w:r w:rsidR="002A4969" w:rsidRPr="003859B6">
        <w:t xml:space="preserve">government </w:t>
      </w:r>
      <w:r w:rsidR="00FD295B" w:rsidRPr="003859B6">
        <w:t xml:space="preserve">is </w:t>
      </w:r>
      <w:r w:rsidR="002A4969" w:rsidRPr="003859B6">
        <w:t>currently developing</w:t>
      </w:r>
      <w:r w:rsidR="00FD295B" w:rsidRPr="003859B6">
        <w:t xml:space="preserve"> a programme for monitoring water quality and antimicrobial resistance in fish and water ecosystems.</w:t>
      </w:r>
      <w:r w:rsidRPr="003859B6">
        <w:t xml:space="preserve"> </w:t>
      </w:r>
      <w:r w:rsidR="00DC15A1" w:rsidRPr="003859B6">
        <w:t xml:space="preserve"> </w:t>
      </w:r>
    </w:p>
    <w:p w:rsidR="00C932A6" w:rsidRPr="003859B6" w:rsidRDefault="00C932A6" w:rsidP="002F227C">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58</w:instrText>
      </w:r>
      <w:r w:rsidRPr="003859B6">
        <w:fldChar w:fldCharType="end"/>
      </w:r>
      <w:r w:rsidRPr="003859B6">
        <w:instrText>.</w:instrText>
      </w:r>
      <w:r w:rsidRPr="003859B6">
        <w:tab/>
      </w:r>
      <w:r w:rsidRPr="003859B6">
        <w:fldChar w:fldCharType="end"/>
      </w:r>
      <w:r w:rsidRPr="003859B6">
        <w:t xml:space="preserve"> Fish disease monitoring and prevention has been </w:t>
      </w:r>
      <w:r w:rsidR="00A1134F" w:rsidRPr="003859B6">
        <w:t xml:space="preserve">relatively </w:t>
      </w:r>
      <w:r w:rsidRPr="003859B6">
        <w:t xml:space="preserve">successful to date. Unlike other Asian countries such as Thailand or Vietnam, Indonesia has not experienced the wholesale decimation of the domestic aquaculture industry from disease. </w:t>
      </w:r>
      <w:r w:rsidR="00E057E6" w:rsidRPr="003859B6">
        <w:t xml:space="preserve">This is largely thanks to the </w:t>
      </w:r>
      <w:r w:rsidRPr="003859B6">
        <w:t>amount</w:t>
      </w:r>
      <w:r w:rsidRPr="003859B6" w:rsidDel="00E057E6">
        <w:t xml:space="preserve"> </w:t>
      </w:r>
      <w:r w:rsidRPr="003859B6">
        <w:t xml:space="preserve">of extensive production. </w:t>
      </w:r>
      <w:r w:rsidR="002F227C" w:rsidRPr="003859B6">
        <w:t>The fish disease monitoring programme</w:t>
      </w:r>
      <w:r w:rsidR="00E057E6" w:rsidRPr="003859B6">
        <w:t>,</w:t>
      </w:r>
      <w:r w:rsidR="002F227C" w:rsidRPr="003859B6">
        <w:t xml:space="preserve"> based on Directorate Decrees 163/2014 and 11/2016</w:t>
      </w:r>
      <w:r w:rsidR="00E057E6" w:rsidRPr="003859B6">
        <w:t>,</w:t>
      </w:r>
      <w:r w:rsidR="002F227C" w:rsidRPr="003859B6">
        <w:t xml:space="preserve"> includes both zoning restrictions and controls</w:t>
      </w:r>
      <w:r w:rsidR="00E057E6" w:rsidRPr="003859B6">
        <w:t>,</w:t>
      </w:r>
      <w:r w:rsidR="002F227C" w:rsidRPr="003859B6">
        <w:t xml:space="preserve"> </w:t>
      </w:r>
      <w:r w:rsidR="00E057E6" w:rsidRPr="003859B6">
        <w:t>and communicates</w:t>
      </w:r>
      <w:r w:rsidR="002F227C" w:rsidRPr="003859B6">
        <w:t xml:space="preserve"> information </w:t>
      </w:r>
      <w:r w:rsidR="00E057E6" w:rsidRPr="003859B6">
        <w:t>on these online</w:t>
      </w:r>
      <w:r w:rsidR="002F227C" w:rsidRPr="003859B6">
        <w:t>. Import restrictions on live and frozen shrimp from countries affected by MAS (</w:t>
      </w:r>
      <w:proofErr w:type="spellStart"/>
      <w:r w:rsidR="002F227C" w:rsidRPr="003859B6">
        <w:rPr>
          <w:i/>
        </w:rPr>
        <w:t>aeronomas</w:t>
      </w:r>
      <w:proofErr w:type="spellEnd"/>
      <w:r w:rsidR="002F227C" w:rsidRPr="003859B6">
        <w:rPr>
          <w:i/>
        </w:rPr>
        <w:t xml:space="preserve"> </w:t>
      </w:r>
      <w:proofErr w:type="spellStart"/>
      <w:r w:rsidR="002F227C" w:rsidRPr="003859B6">
        <w:rPr>
          <w:i/>
        </w:rPr>
        <w:t>hydrophila</w:t>
      </w:r>
      <w:proofErr w:type="spellEnd"/>
      <w:r w:rsidR="002F227C" w:rsidRPr="003859B6">
        <w:t xml:space="preserve">) also apply in accordance with the prescriptions of the OIE. </w:t>
      </w:r>
    </w:p>
    <w:p w:rsidR="0058284F" w:rsidRPr="003859B6" w:rsidRDefault="00967213" w:rsidP="0058284F">
      <w:pPr>
        <w:pStyle w:val="Num-DocParagraph"/>
        <w:rPr>
          <w:i/>
        </w:rPr>
      </w:pPr>
      <w:r w:rsidRPr="003859B6">
        <w:rPr>
          <w:i/>
        </w:rPr>
        <w:t>Certification schemes</w:t>
      </w:r>
      <w:r w:rsidR="002357C2" w:rsidRPr="003859B6">
        <w:rPr>
          <w:i/>
        </w:rPr>
        <w:t xml:space="preserve"> for greener production</w:t>
      </w:r>
    </w:p>
    <w:p w:rsidR="00477233" w:rsidRPr="003859B6" w:rsidRDefault="00477233" w:rsidP="0058284F">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59</w:instrText>
      </w:r>
      <w:r w:rsidRPr="003859B6">
        <w:fldChar w:fldCharType="end"/>
      </w:r>
      <w:r w:rsidRPr="003859B6">
        <w:instrText>.</w:instrText>
      </w:r>
      <w:r w:rsidRPr="003859B6">
        <w:tab/>
      </w:r>
      <w:r w:rsidRPr="003859B6">
        <w:fldChar w:fldCharType="end"/>
      </w:r>
      <w:r w:rsidR="0058284F" w:rsidRPr="003859B6">
        <w:t xml:space="preserve">The Indonesian </w:t>
      </w:r>
      <w:r w:rsidR="00967213" w:rsidRPr="003859B6">
        <w:t>g</w:t>
      </w:r>
      <w:r w:rsidR="0058284F" w:rsidRPr="003859B6">
        <w:t xml:space="preserve">overnment uses certification schemes to promote greener production processes </w:t>
      </w:r>
      <w:r w:rsidR="00EA04F3" w:rsidRPr="003859B6">
        <w:t>and standardise inputs and practices for supply chain management by</w:t>
      </w:r>
      <w:r w:rsidR="0058284F" w:rsidRPr="003859B6">
        <w:t xml:space="preserve"> disseminating technical practices to producers in a structured and formalised fashion (</w:t>
      </w:r>
      <w:proofErr w:type="spellStart"/>
      <w:r w:rsidR="0058284F" w:rsidRPr="003859B6">
        <w:t>Kusumawati</w:t>
      </w:r>
      <w:proofErr w:type="spellEnd"/>
      <w:r w:rsidR="0058284F" w:rsidRPr="003859B6">
        <w:t xml:space="preserve"> and Bush, 2015). </w:t>
      </w:r>
      <w:r w:rsidR="00D95619" w:rsidRPr="003859B6">
        <w:t xml:space="preserve">Sustainable seafood certification is indeed a useful means of communication about the sustainability of production practices of both capture and farmed seafood. Through the creation of market demand for sustainable practices, </w:t>
      </w:r>
      <w:r w:rsidR="0099549C" w:rsidRPr="003859B6">
        <w:t xml:space="preserve">it creates </w:t>
      </w:r>
      <w:r w:rsidR="00D95619" w:rsidRPr="003859B6">
        <w:t>additional incentives for investment in improved fishing and aquaculture practices (Potts et al, 2016).</w:t>
      </w:r>
    </w:p>
    <w:p w:rsidR="0058284F" w:rsidRPr="003859B6" w:rsidRDefault="00477233" w:rsidP="0058284F">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60</w:instrText>
      </w:r>
      <w:r w:rsidRPr="003859B6">
        <w:fldChar w:fldCharType="end"/>
      </w:r>
      <w:r w:rsidRPr="003859B6">
        <w:instrText>.</w:instrText>
      </w:r>
      <w:r w:rsidRPr="003859B6">
        <w:tab/>
      </w:r>
      <w:r w:rsidRPr="003859B6">
        <w:fldChar w:fldCharType="end"/>
      </w:r>
      <w:r w:rsidRPr="003859B6">
        <w:t xml:space="preserve">The Indonesian government has introduced its own certification scheme, </w:t>
      </w:r>
      <w:proofErr w:type="spellStart"/>
      <w:r w:rsidRPr="003859B6">
        <w:t>IndoGAP</w:t>
      </w:r>
      <w:proofErr w:type="spellEnd"/>
      <w:r w:rsidRPr="003859B6">
        <w:t xml:space="preserve">, based on biosafety, food safety and the environment. The standard certifies farmed carps, catfish and tilapia, brackish water shrimp and the marine farming of </w:t>
      </w:r>
      <w:proofErr w:type="spellStart"/>
      <w:r w:rsidRPr="003859B6">
        <w:t>seabass</w:t>
      </w:r>
      <w:proofErr w:type="spellEnd"/>
      <w:r w:rsidRPr="003859B6">
        <w:t>, groupers and seaweed. MMAF spent o</w:t>
      </w:r>
      <w:r w:rsidR="0058284F" w:rsidRPr="003859B6">
        <w:t xml:space="preserve">ver USD 580 000 in 2015 on providing assistance to </w:t>
      </w:r>
      <w:r w:rsidRPr="003859B6">
        <w:t xml:space="preserve">certify </w:t>
      </w:r>
      <w:r w:rsidR="0058284F" w:rsidRPr="003859B6">
        <w:t>hatcheries</w:t>
      </w:r>
      <w:r w:rsidR="00EA12EA" w:rsidRPr="003859B6">
        <w:t>,</w:t>
      </w:r>
      <w:r w:rsidR="0058284F" w:rsidRPr="003859B6">
        <w:t xml:space="preserve"> and around USD 50 000 </w:t>
      </w:r>
      <w:r w:rsidRPr="003859B6">
        <w:t xml:space="preserve">to assist </w:t>
      </w:r>
      <w:r w:rsidR="0058284F" w:rsidRPr="003859B6">
        <w:t xml:space="preserve">freshwater and </w:t>
      </w:r>
      <w:proofErr w:type="spellStart"/>
      <w:r w:rsidR="0058284F" w:rsidRPr="003859B6">
        <w:t>brackishwater</w:t>
      </w:r>
      <w:proofErr w:type="spellEnd"/>
      <w:r w:rsidR="0058284F" w:rsidRPr="003859B6">
        <w:t xml:space="preserve"> farms </w:t>
      </w:r>
      <w:r w:rsidRPr="003859B6">
        <w:t>certification</w:t>
      </w:r>
      <w:r w:rsidR="0058284F" w:rsidRPr="003859B6">
        <w:t>. In the future, MMAF will need to outsource auditing to an independent third</w:t>
      </w:r>
      <w:r w:rsidR="00EA12EA" w:rsidRPr="003859B6">
        <w:t xml:space="preserve"> </w:t>
      </w:r>
      <w:r w:rsidR="0058284F" w:rsidRPr="003859B6">
        <w:t>party in order to be fully compliant with international norms (FAO</w:t>
      </w:r>
      <w:r w:rsidR="00AC2E68" w:rsidRPr="003859B6">
        <w:t>,</w:t>
      </w:r>
      <w:r w:rsidR="0058284F" w:rsidRPr="003859B6">
        <w:t xml:space="preserve"> 2011).</w:t>
      </w:r>
    </w:p>
    <w:p w:rsidR="0058284F" w:rsidRPr="003859B6" w:rsidRDefault="0058284F" w:rsidP="0058284F">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61</w:instrText>
      </w:r>
      <w:r w:rsidRPr="003859B6">
        <w:fldChar w:fldCharType="end"/>
      </w:r>
      <w:r w:rsidRPr="003859B6">
        <w:instrText>.</w:instrText>
      </w:r>
      <w:r w:rsidRPr="003859B6">
        <w:tab/>
      </w:r>
      <w:r w:rsidRPr="003859B6">
        <w:fldChar w:fldCharType="end"/>
      </w:r>
      <w:r w:rsidRPr="003859B6">
        <w:t xml:space="preserve"> Private sustainability standards and certification schemes also operate in Indonesia and have greater breadth and depth than national schemes, particularly for shrimp aquaculture (Gutierrez et al</w:t>
      </w:r>
      <w:r w:rsidR="00AC2E68" w:rsidRPr="003859B6">
        <w:t>.</w:t>
      </w:r>
      <w:r w:rsidRPr="003859B6">
        <w:t xml:space="preserve">, 2016). Certified products include extensively-farmed organic shrimp, farmed tilapia and feed certified by private organisations such as the Aquaculture Stewardship Council (ASC) and Sustainable Fisheries Partnership. The tuna pole and line fishery is currently part of a Fishery Improvement Project (FIP) that will eventually lead to its certification by the Marine Stewardship Council (MSC). However, there is no market data on the percentage of total seafood products in Indonesia that are certified. </w:t>
      </w:r>
    </w:p>
    <w:p w:rsidR="0058284F" w:rsidRPr="003859B6" w:rsidRDefault="0058284F" w:rsidP="0058284F">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62</w:instrText>
      </w:r>
      <w:r w:rsidRPr="003859B6">
        <w:fldChar w:fldCharType="end"/>
      </w:r>
      <w:r w:rsidRPr="003859B6">
        <w:instrText>.</w:instrText>
      </w:r>
      <w:r w:rsidRPr="003859B6">
        <w:tab/>
      </w:r>
      <w:r w:rsidRPr="003859B6">
        <w:fldChar w:fldCharType="end"/>
      </w:r>
      <w:r w:rsidRPr="003859B6">
        <w:t>Private sustainability standards and certification schemes may be favourable for governments</w:t>
      </w:r>
      <w:r w:rsidR="00EA12EA" w:rsidRPr="003859B6">
        <w:t>,</w:t>
      </w:r>
      <w:r w:rsidRPr="003859B6">
        <w:t xml:space="preserve"> because participating in </w:t>
      </w:r>
      <w:r w:rsidR="00EA12EA" w:rsidRPr="003859B6">
        <w:t xml:space="preserve">these projects </w:t>
      </w:r>
      <w:r w:rsidRPr="003859B6">
        <w:t xml:space="preserve">a good image of responsible governance. However, the </w:t>
      </w:r>
      <w:r w:rsidR="0099549C" w:rsidRPr="003859B6">
        <w:t xml:space="preserve">main </w:t>
      </w:r>
      <w:r w:rsidRPr="003859B6">
        <w:t>challenge</w:t>
      </w:r>
      <w:r w:rsidR="00BD2B1C" w:rsidRPr="003859B6">
        <w:t>s</w:t>
      </w:r>
      <w:r w:rsidRPr="003859B6">
        <w:t xml:space="preserve"> associated with such schemes </w:t>
      </w:r>
      <w:r w:rsidR="00BD2B1C" w:rsidRPr="003859B6">
        <w:t>are</w:t>
      </w:r>
      <w:r w:rsidRPr="003859B6">
        <w:t xml:space="preserve"> that they may change power relationships between actors involved in seafood trade (</w:t>
      </w:r>
      <w:proofErr w:type="spellStart"/>
      <w:r w:rsidRPr="003859B6">
        <w:t>Wijaya</w:t>
      </w:r>
      <w:proofErr w:type="spellEnd"/>
      <w:r w:rsidRPr="003859B6">
        <w:t xml:space="preserve"> and </w:t>
      </w:r>
      <w:proofErr w:type="spellStart"/>
      <w:r w:rsidRPr="003859B6">
        <w:t>Glasbergen</w:t>
      </w:r>
      <w:proofErr w:type="spellEnd"/>
      <w:r w:rsidRPr="003859B6">
        <w:t>, 2016)</w:t>
      </w:r>
      <w:r w:rsidR="00BD2B1C" w:rsidRPr="003859B6">
        <w:t xml:space="preserve"> and </w:t>
      </w:r>
      <w:r w:rsidRPr="003859B6">
        <w:t>mak</w:t>
      </w:r>
      <w:r w:rsidR="00BD2B1C" w:rsidRPr="003859B6">
        <w:t>e</w:t>
      </w:r>
      <w:r w:rsidRPr="003859B6">
        <w:t xml:space="preserve"> market access more difficult</w:t>
      </w:r>
      <w:r w:rsidR="00BD2B1C" w:rsidRPr="003859B6">
        <w:t xml:space="preserve"> for non-certified exporters</w:t>
      </w:r>
      <w:r w:rsidRPr="003859B6">
        <w:t xml:space="preserve">, </w:t>
      </w:r>
      <w:r w:rsidR="00BD2B1C" w:rsidRPr="003859B6">
        <w:t xml:space="preserve">especially </w:t>
      </w:r>
      <w:r w:rsidRPr="003859B6">
        <w:t>smallholders (</w:t>
      </w:r>
      <w:proofErr w:type="spellStart"/>
      <w:r w:rsidRPr="003859B6">
        <w:t>Wijaya</w:t>
      </w:r>
      <w:proofErr w:type="spellEnd"/>
      <w:r w:rsidRPr="003859B6">
        <w:t xml:space="preserve"> and </w:t>
      </w:r>
      <w:proofErr w:type="spellStart"/>
      <w:r w:rsidRPr="003859B6">
        <w:t>Glasbergen</w:t>
      </w:r>
      <w:proofErr w:type="spellEnd"/>
      <w:r w:rsidRPr="003859B6">
        <w:t xml:space="preserve">, 2016). </w:t>
      </w:r>
      <w:r w:rsidR="00D95619" w:rsidRPr="003859B6">
        <w:t xml:space="preserve">When possible, evidence suggests that the </w:t>
      </w:r>
      <w:r w:rsidR="00E23B67" w:rsidRPr="003859B6">
        <w:t xml:space="preserve">simplest approach may be for the government to </w:t>
      </w:r>
      <w:r w:rsidR="00FF30E1" w:rsidRPr="003859B6">
        <w:t xml:space="preserve">contribute to </w:t>
      </w:r>
      <w:r w:rsidR="00E23B67" w:rsidRPr="003859B6">
        <w:t>the costs for a fishery to obtain private certification</w:t>
      </w:r>
      <w:r w:rsidR="00EA12EA" w:rsidRPr="003859B6">
        <w:t>,</w:t>
      </w:r>
      <w:r w:rsidR="00D95619" w:rsidRPr="003859B6">
        <w:t xml:space="preserve"> rather than create additional certification schemes (OECD, </w:t>
      </w:r>
      <w:r w:rsidR="00111989" w:rsidRPr="003859B6">
        <w:t>2011</w:t>
      </w:r>
      <w:r w:rsidR="00D95619" w:rsidRPr="003859B6">
        <w:t>)</w:t>
      </w:r>
      <w:r w:rsidR="00FF30E1" w:rsidRPr="003859B6">
        <w:t>.</w:t>
      </w:r>
    </w:p>
    <w:p w:rsidR="00B02A67" w:rsidRPr="003859B6" w:rsidRDefault="00CC7386" w:rsidP="00527E8D">
      <w:pPr>
        <w:pStyle w:val="Heading3"/>
      </w:pPr>
      <w:bookmarkStart w:id="70" w:name="_Toc472936629"/>
      <w:bookmarkStart w:id="71" w:name="_Toc472954977"/>
      <w:bookmarkStart w:id="72" w:name="_Toc474487633"/>
      <w:r w:rsidRPr="003859B6">
        <w:t xml:space="preserve">Vulnerability to </w:t>
      </w:r>
      <w:r w:rsidR="00476569" w:rsidRPr="003859B6">
        <w:t xml:space="preserve">climate </w:t>
      </w:r>
      <w:r w:rsidR="00FC5183" w:rsidRPr="003859B6">
        <w:t>change</w:t>
      </w:r>
      <w:bookmarkEnd w:id="70"/>
      <w:bookmarkEnd w:id="71"/>
      <w:bookmarkEnd w:id="72"/>
    </w:p>
    <w:p w:rsidR="004D0C8E" w:rsidRPr="003859B6" w:rsidRDefault="00E423C6" w:rsidP="004D0C8E">
      <w:pPr>
        <w:pStyle w:val="Num-DocParagraph"/>
        <w:rPr>
          <w:rStyle w:val="CommentReference"/>
          <w:sz w:val="22"/>
          <w:szCs w:val="22"/>
        </w:rPr>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63</w:instrText>
      </w:r>
      <w:r w:rsidRPr="003859B6">
        <w:fldChar w:fldCharType="end"/>
      </w:r>
      <w:r w:rsidRPr="003859B6">
        <w:instrText>.</w:instrText>
      </w:r>
      <w:r w:rsidRPr="003859B6">
        <w:tab/>
      </w:r>
      <w:r w:rsidRPr="003859B6">
        <w:fldChar w:fldCharType="end"/>
      </w:r>
      <w:r w:rsidR="008A0EB7" w:rsidRPr="003859B6">
        <w:t xml:space="preserve">Indonesia </w:t>
      </w:r>
      <w:r w:rsidR="008A0EB7" w:rsidRPr="003859B6">
        <w:rPr>
          <w:rStyle w:val="CommentReference"/>
          <w:sz w:val="22"/>
          <w:szCs w:val="22"/>
        </w:rPr>
        <w:t>faces high risks due to multiple hazards</w:t>
      </w:r>
      <w:r w:rsidR="00931DF6" w:rsidRPr="003859B6">
        <w:rPr>
          <w:rStyle w:val="CommentReference"/>
          <w:sz w:val="22"/>
          <w:szCs w:val="22"/>
        </w:rPr>
        <w:t xml:space="preserve"> directly</w:t>
      </w:r>
      <w:r w:rsidR="008A0EB7" w:rsidRPr="003859B6">
        <w:rPr>
          <w:rStyle w:val="CommentReference"/>
          <w:sz w:val="22"/>
          <w:szCs w:val="22"/>
        </w:rPr>
        <w:t xml:space="preserve"> linked to climate change, such as tsunamis, floods, landslides, </w:t>
      </w:r>
      <w:r w:rsidR="009539EE" w:rsidRPr="003859B6">
        <w:rPr>
          <w:rStyle w:val="CommentReference"/>
          <w:sz w:val="22"/>
          <w:szCs w:val="22"/>
        </w:rPr>
        <w:t xml:space="preserve">and </w:t>
      </w:r>
      <w:r w:rsidR="008A0EB7" w:rsidRPr="003859B6">
        <w:rPr>
          <w:rStyle w:val="CommentReference"/>
          <w:sz w:val="22"/>
          <w:szCs w:val="22"/>
        </w:rPr>
        <w:t>droughts</w:t>
      </w:r>
      <w:r w:rsidR="00EA12EA" w:rsidRPr="003859B6">
        <w:rPr>
          <w:rStyle w:val="CommentReference"/>
          <w:sz w:val="22"/>
          <w:szCs w:val="22"/>
        </w:rPr>
        <w:t>,</w:t>
      </w:r>
      <w:r w:rsidR="008A0EB7" w:rsidRPr="003859B6">
        <w:rPr>
          <w:rStyle w:val="CommentReference"/>
          <w:sz w:val="22"/>
          <w:szCs w:val="22"/>
        </w:rPr>
        <w:t xml:space="preserve"> alongside the effects of sea</w:t>
      </w:r>
      <w:r w:rsidR="00EA12EA" w:rsidRPr="003859B6">
        <w:rPr>
          <w:rStyle w:val="CommentReference"/>
          <w:sz w:val="22"/>
          <w:szCs w:val="22"/>
        </w:rPr>
        <w:t>-</w:t>
      </w:r>
      <w:r w:rsidR="008A0EB7" w:rsidRPr="003859B6">
        <w:rPr>
          <w:rStyle w:val="CommentReference"/>
          <w:sz w:val="22"/>
          <w:szCs w:val="22"/>
        </w:rPr>
        <w:t xml:space="preserve">level rise on coastal areas (MER, 2015). </w:t>
      </w:r>
      <w:r w:rsidR="00931DF6" w:rsidRPr="003859B6">
        <w:rPr>
          <w:rStyle w:val="CommentReference"/>
          <w:sz w:val="22"/>
          <w:szCs w:val="22"/>
        </w:rPr>
        <w:t xml:space="preserve">Indirect effects of climate change occur through impacts on feed, seed, freshwater and other inputs (FAO, 2016b). </w:t>
      </w:r>
      <w:r w:rsidR="00297F71" w:rsidRPr="003859B6">
        <w:rPr>
          <w:rStyle w:val="CommentReference"/>
          <w:sz w:val="22"/>
          <w:szCs w:val="22"/>
        </w:rPr>
        <w:t>The World Bank estimates that by 2100, climate change impacts will cost Indonesia 2.5</w:t>
      </w:r>
      <w:r w:rsidR="00FC5183" w:rsidRPr="003859B6">
        <w:rPr>
          <w:rStyle w:val="CommentReference"/>
          <w:sz w:val="22"/>
          <w:szCs w:val="22"/>
        </w:rPr>
        <w:t>-</w:t>
      </w:r>
      <w:r w:rsidR="00297F71" w:rsidRPr="003859B6">
        <w:rPr>
          <w:rStyle w:val="CommentReference"/>
          <w:sz w:val="22"/>
          <w:szCs w:val="22"/>
        </w:rPr>
        <w:t xml:space="preserve">7% of its GDP </w:t>
      </w:r>
      <w:r w:rsidR="00297F71" w:rsidRPr="003859B6">
        <w:t>and disproportionately affect poor</w:t>
      </w:r>
      <w:r w:rsidR="00EA12EA" w:rsidRPr="003859B6">
        <w:t>,</w:t>
      </w:r>
      <w:r w:rsidR="00297F71" w:rsidRPr="003859B6">
        <w:t xml:space="preserve"> </w:t>
      </w:r>
      <w:r w:rsidR="00EA12EA" w:rsidRPr="003859B6">
        <w:t xml:space="preserve">coastal </w:t>
      </w:r>
      <w:r w:rsidR="00297F71" w:rsidRPr="003859B6">
        <w:t xml:space="preserve">communities </w:t>
      </w:r>
      <w:r w:rsidR="00EA12EA" w:rsidRPr="003859B6">
        <w:t xml:space="preserve">that </w:t>
      </w:r>
      <w:r w:rsidR="00297F71" w:rsidRPr="003859B6">
        <w:t>depend on agriculture, fishery and forestry for their livelihoods (World Bank, 201</w:t>
      </w:r>
      <w:r w:rsidR="006602F2" w:rsidRPr="003859B6">
        <w:t>7</w:t>
      </w:r>
      <w:r w:rsidR="00297F71" w:rsidRPr="003859B6">
        <w:t>)</w:t>
      </w:r>
      <w:r w:rsidR="00297F71" w:rsidRPr="003859B6">
        <w:rPr>
          <w:rStyle w:val="CommentReference"/>
          <w:sz w:val="22"/>
          <w:szCs w:val="22"/>
        </w:rPr>
        <w:t xml:space="preserve">. </w:t>
      </w:r>
      <w:r w:rsidR="008A0EB7" w:rsidRPr="003859B6">
        <w:rPr>
          <w:rStyle w:val="CommentReference"/>
          <w:sz w:val="22"/>
          <w:szCs w:val="22"/>
        </w:rPr>
        <w:t>Food secur</w:t>
      </w:r>
      <w:r w:rsidR="00931DF6" w:rsidRPr="003859B6">
        <w:rPr>
          <w:rStyle w:val="CommentReference"/>
          <w:sz w:val="22"/>
          <w:szCs w:val="22"/>
        </w:rPr>
        <w:t>ity and water availability will</w:t>
      </w:r>
      <w:r w:rsidR="00297F71" w:rsidRPr="003859B6">
        <w:rPr>
          <w:rStyle w:val="CommentReference"/>
          <w:sz w:val="22"/>
          <w:szCs w:val="22"/>
        </w:rPr>
        <w:t xml:space="preserve"> </w:t>
      </w:r>
      <w:r w:rsidR="008A0EB7" w:rsidRPr="003859B6">
        <w:rPr>
          <w:rStyle w:val="CommentReference"/>
          <w:sz w:val="22"/>
          <w:szCs w:val="22"/>
        </w:rPr>
        <w:t>be increasingly affected by unpredictable rainfall, temperature and salinity increases</w:t>
      </w:r>
      <w:r w:rsidR="00477233" w:rsidRPr="003859B6">
        <w:rPr>
          <w:rStyle w:val="CommentReference"/>
          <w:sz w:val="22"/>
          <w:szCs w:val="22"/>
        </w:rPr>
        <w:t>, which</w:t>
      </w:r>
      <w:r w:rsidR="008A0EB7" w:rsidRPr="003859B6">
        <w:rPr>
          <w:rStyle w:val="CommentReference"/>
          <w:sz w:val="22"/>
          <w:szCs w:val="22"/>
        </w:rPr>
        <w:t xml:space="preserve"> could have an impact on fish migratory routes, stock abundance</w:t>
      </w:r>
      <w:r w:rsidR="00477233" w:rsidRPr="003859B6">
        <w:rPr>
          <w:rStyle w:val="CommentReference"/>
          <w:sz w:val="22"/>
          <w:szCs w:val="22"/>
        </w:rPr>
        <w:t xml:space="preserve">, </w:t>
      </w:r>
      <w:r w:rsidR="008A0EB7" w:rsidRPr="003859B6">
        <w:rPr>
          <w:rStyle w:val="CommentReference"/>
          <w:sz w:val="22"/>
          <w:szCs w:val="22"/>
        </w:rPr>
        <w:t>biodiversity</w:t>
      </w:r>
      <w:r w:rsidR="00297F71" w:rsidRPr="003859B6">
        <w:rPr>
          <w:rStyle w:val="CommentReference"/>
          <w:sz w:val="22"/>
          <w:szCs w:val="22"/>
        </w:rPr>
        <w:t xml:space="preserve"> and</w:t>
      </w:r>
      <w:r w:rsidR="008A0EB7" w:rsidRPr="003859B6">
        <w:rPr>
          <w:rStyle w:val="CommentReference"/>
          <w:sz w:val="22"/>
          <w:szCs w:val="22"/>
        </w:rPr>
        <w:t xml:space="preserve"> water quality</w:t>
      </w:r>
      <w:r w:rsidR="00297F71" w:rsidRPr="003859B6">
        <w:rPr>
          <w:rStyle w:val="CommentReference"/>
          <w:sz w:val="22"/>
          <w:szCs w:val="22"/>
        </w:rPr>
        <w:t>. This could in turn</w:t>
      </w:r>
      <w:r w:rsidR="00477233" w:rsidRPr="003859B6">
        <w:rPr>
          <w:rStyle w:val="CommentReference"/>
          <w:sz w:val="22"/>
          <w:szCs w:val="22"/>
        </w:rPr>
        <w:t xml:space="preserve"> </w:t>
      </w:r>
      <w:r w:rsidR="00297F71" w:rsidRPr="003859B6">
        <w:rPr>
          <w:rStyle w:val="CommentReference"/>
          <w:sz w:val="22"/>
          <w:szCs w:val="22"/>
        </w:rPr>
        <w:t>reduce catches</w:t>
      </w:r>
      <w:r w:rsidR="008A0EB7" w:rsidRPr="003859B6">
        <w:rPr>
          <w:rStyle w:val="CommentReference"/>
          <w:sz w:val="22"/>
          <w:szCs w:val="22"/>
        </w:rPr>
        <w:t>, cause physical destruction of aquaculture facilities</w:t>
      </w:r>
      <w:r w:rsidR="00297F71" w:rsidRPr="003859B6">
        <w:rPr>
          <w:rStyle w:val="CommentReference"/>
          <w:sz w:val="22"/>
          <w:szCs w:val="22"/>
        </w:rPr>
        <w:t>,</w:t>
      </w:r>
      <w:r w:rsidR="008A0EB7" w:rsidRPr="003859B6">
        <w:rPr>
          <w:rStyle w:val="CommentReference"/>
          <w:sz w:val="22"/>
          <w:szCs w:val="22"/>
        </w:rPr>
        <w:t xml:space="preserve"> </w:t>
      </w:r>
      <w:r w:rsidR="00477233" w:rsidRPr="003859B6">
        <w:rPr>
          <w:rStyle w:val="CommentReference"/>
          <w:sz w:val="22"/>
          <w:szCs w:val="22"/>
        </w:rPr>
        <w:t>spread</w:t>
      </w:r>
      <w:r w:rsidR="00477233" w:rsidRPr="003859B6" w:rsidDel="00477233">
        <w:rPr>
          <w:rStyle w:val="CommentReference"/>
          <w:sz w:val="22"/>
          <w:szCs w:val="22"/>
        </w:rPr>
        <w:t xml:space="preserve"> </w:t>
      </w:r>
      <w:r w:rsidR="00477233" w:rsidRPr="003859B6">
        <w:rPr>
          <w:rStyle w:val="CommentReference"/>
          <w:sz w:val="22"/>
          <w:szCs w:val="22"/>
        </w:rPr>
        <w:t>diseases and</w:t>
      </w:r>
      <w:r w:rsidR="00297F71" w:rsidRPr="003859B6">
        <w:rPr>
          <w:rStyle w:val="CommentReference"/>
          <w:sz w:val="22"/>
          <w:szCs w:val="22"/>
        </w:rPr>
        <w:t>, ultimately,</w:t>
      </w:r>
      <w:r w:rsidR="00477233" w:rsidRPr="003859B6">
        <w:rPr>
          <w:rStyle w:val="CommentReference"/>
          <w:sz w:val="22"/>
          <w:szCs w:val="22"/>
        </w:rPr>
        <w:t xml:space="preserve"> reduce</w:t>
      </w:r>
      <w:r w:rsidR="008A0EB7" w:rsidRPr="003859B6">
        <w:rPr>
          <w:rStyle w:val="CommentReference"/>
          <w:sz w:val="22"/>
          <w:szCs w:val="22"/>
        </w:rPr>
        <w:t xml:space="preserve"> the availability and affordability of seafood (de Silva and Soto, 2009). </w:t>
      </w:r>
    </w:p>
    <w:p w:rsidR="00291355" w:rsidRPr="003859B6" w:rsidRDefault="00931DF6" w:rsidP="00E53683">
      <w:pPr>
        <w:pStyle w:val="Num-DocParagraph"/>
        <w:rPr>
          <w:rFonts w:eastAsiaTheme="minorHAnsi"/>
        </w:rPr>
      </w:pPr>
      <w:r w:rsidRPr="003859B6">
        <w:rPr>
          <w:rStyle w:val="CommentReference"/>
          <w:sz w:val="22"/>
          <w:szCs w:val="22"/>
        </w:rPr>
        <w:fldChar w:fldCharType="begin"/>
      </w:r>
      <w:r w:rsidRPr="003859B6">
        <w:rPr>
          <w:rStyle w:val="CommentReference"/>
          <w:sz w:val="22"/>
          <w:szCs w:val="22"/>
        </w:rPr>
        <w:instrText xml:space="preserve"> MACROBUTTON NUMBERING </w:instrText>
      </w:r>
      <w:r w:rsidRPr="003859B6">
        <w:rPr>
          <w:rStyle w:val="CommentReference"/>
          <w:sz w:val="22"/>
          <w:szCs w:val="22"/>
        </w:rPr>
        <w:fldChar w:fldCharType="begin"/>
      </w:r>
      <w:r w:rsidRPr="003859B6">
        <w:rPr>
          <w:rStyle w:val="CommentReference"/>
          <w:sz w:val="22"/>
          <w:szCs w:val="22"/>
        </w:rPr>
        <w:instrText xml:space="preserve"> SEQ  dpara</w:instrText>
      </w:r>
      <w:r w:rsidRPr="003859B6">
        <w:rPr>
          <w:rStyle w:val="CommentReference"/>
          <w:sz w:val="22"/>
          <w:szCs w:val="22"/>
        </w:rPr>
        <w:fldChar w:fldCharType="separate"/>
      </w:r>
      <w:r w:rsidR="003859B6">
        <w:rPr>
          <w:rStyle w:val="CommentReference"/>
          <w:noProof/>
          <w:sz w:val="22"/>
          <w:szCs w:val="22"/>
        </w:rPr>
        <w:instrText>64</w:instrText>
      </w:r>
      <w:r w:rsidRPr="003859B6">
        <w:rPr>
          <w:rStyle w:val="CommentReference"/>
          <w:sz w:val="22"/>
          <w:szCs w:val="22"/>
        </w:rPr>
        <w:fldChar w:fldCharType="end"/>
      </w:r>
      <w:r w:rsidRPr="003859B6">
        <w:rPr>
          <w:rStyle w:val="CommentReference"/>
          <w:sz w:val="22"/>
          <w:szCs w:val="22"/>
        </w:rPr>
        <w:instrText>.</w:instrText>
      </w:r>
      <w:r w:rsidRPr="003859B6">
        <w:rPr>
          <w:rStyle w:val="CommentReference"/>
          <w:sz w:val="22"/>
          <w:szCs w:val="22"/>
        </w:rPr>
        <w:tab/>
      </w:r>
      <w:r w:rsidRPr="003859B6">
        <w:rPr>
          <w:rStyle w:val="CommentReference"/>
          <w:sz w:val="22"/>
          <w:szCs w:val="22"/>
        </w:rPr>
        <w:fldChar w:fldCharType="end"/>
      </w:r>
      <w:r w:rsidR="004D0C8E" w:rsidRPr="003859B6">
        <w:rPr>
          <w:rStyle w:val="CommentReference"/>
          <w:sz w:val="22"/>
          <w:szCs w:val="22"/>
        </w:rPr>
        <w:t>T</w:t>
      </w:r>
      <w:r w:rsidR="008A0EB7" w:rsidRPr="003859B6">
        <w:t xml:space="preserve">he World Bank </w:t>
      </w:r>
      <w:r w:rsidR="004D0C8E" w:rsidRPr="003859B6">
        <w:t xml:space="preserve">also estimates that Indonesia is relatively unready to cope </w:t>
      </w:r>
      <w:r w:rsidR="00297F71" w:rsidRPr="003859B6">
        <w:t xml:space="preserve">with </w:t>
      </w:r>
      <w:r w:rsidR="004D0C8E" w:rsidRPr="003859B6">
        <w:t>climate change impacts (World Bank, 201</w:t>
      </w:r>
      <w:r w:rsidR="006602F2" w:rsidRPr="003859B6">
        <w:t>7</w:t>
      </w:r>
      <w:r w:rsidR="004D0C8E" w:rsidRPr="003859B6">
        <w:t>).</w:t>
      </w:r>
      <w:r w:rsidR="004D0C8E" w:rsidRPr="003859B6" w:rsidDel="00E707B8">
        <w:t xml:space="preserve"> </w:t>
      </w:r>
      <w:r w:rsidR="00A83DF1" w:rsidRPr="003859B6">
        <w:t>I</w:t>
      </w:r>
      <w:r w:rsidR="004D0C8E" w:rsidRPr="003859B6">
        <w:t xml:space="preserve">n fact, </w:t>
      </w:r>
      <w:r w:rsidR="00A83DF1" w:rsidRPr="003859B6">
        <w:t xml:space="preserve">the country </w:t>
      </w:r>
      <w:r w:rsidR="004D0C8E" w:rsidRPr="003859B6">
        <w:t>has a very developed national institutional policy framework to tackle climate change mitigation.</w:t>
      </w:r>
      <w:r w:rsidR="004D0C8E" w:rsidRPr="003859B6">
        <w:rPr>
          <w:rStyle w:val="FootnoteReference"/>
          <w:rFonts w:eastAsiaTheme="minorHAnsi"/>
        </w:rPr>
        <w:footnoteReference w:id="9"/>
      </w:r>
      <w:r w:rsidR="004D0C8E" w:rsidRPr="003859B6">
        <w:t xml:space="preserve"> However, planning for adaptation is still a work in progress</w:t>
      </w:r>
      <w:r w:rsidR="00291355" w:rsidRPr="003859B6">
        <w:t>.</w:t>
      </w:r>
      <w:r w:rsidR="004D0C8E" w:rsidRPr="003859B6">
        <w:rPr>
          <w:rFonts w:eastAsiaTheme="minorHAnsi"/>
        </w:rPr>
        <w:t xml:space="preserve"> </w:t>
      </w:r>
      <w:r w:rsidR="00D6036B" w:rsidRPr="003859B6">
        <w:t>The fisheries and aquaculture sectors will have to adapt to future changes in climate and ocean conditions</w:t>
      </w:r>
      <w:r w:rsidR="004D0C8E" w:rsidRPr="003859B6">
        <w:rPr>
          <w:rFonts w:eastAsiaTheme="minorHAnsi"/>
        </w:rPr>
        <w:t xml:space="preserve">. </w:t>
      </w:r>
      <w:r w:rsidR="008A0EB7" w:rsidRPr="003859B6">
        <w:t xml:space="preserve">Adaptation strategies require marine science and technology, spatial planning, technical coastal adaptation, and adjustment of cultured and capture fishery management. At the level of regulation, climate change forecasting should be </w:t>
      </w:r>
      <w:r w:rsidR="007F0D6E" w:rsidRPr="003859B6">
        <w:t xml:space="preserve">taken </w:t>
      </w:r>
      <w:r w:rsidR="008A0EB7" w:rsidRPr="003859B6">
        <w:t xml:space="preserve">into consideration when setting fishing pressure limits to sustainable levels while </w:t>
      </w:r>
      <w:r w:rsidR="008A0EB7" w:rsidRPr="003859B6">
        <w:rPr>
          <w:rFonts w:eastAsiaTheme="minorHAnsi"/>
        </w:rPr>
        <w:t>weather</w:t>
      </w:r>
      <w:r w:rsidR="00A83DF1" w:rsidRPr="003859B6">
        <w:rPr>
          <w:rFonts w:eastAsiaTheme="minorHAnsi"/>
        </w:rPr>
        <w:t>-</w:t>
      </w:r>
      <w:r w:rsidR="008A0EB7" w:rsidRPr="003859B6">
        <w:rPr>
          <w:rFonts w:eastAsiaTheme="minorHAnsi"/>
        </w:rPr>
        <w:t xml:space="preserve">related risks should be </w:t>
      </w:r>
      <w:r w:rsidR="007F0D6E" w:rsidRPr="003859B6">
        <w:rPr>
          <w:rFonts w:eastAsiaTheme="minorHAnsi"/>
        </w:rPr>
        <w:t xml:space="preserve">considered </w:t>
      </w:r>
      <w:r w:rsidR="008A0EB7" w:rsidRPr="003859B6">
        <w:rPr>
          <w:rFonts w:eastAsiaTheme="minorHAnsi"/>
        </w:rPr>
        <w:t>when defining locations suitable for aquaculture (De Silva and Soto, 2009).</w:t>
      </w:r>
      <w:r w:rsidRPr="003859B6">
        <w:rPr>
          <w:rFonts w:eastAsiaTheme="minorHAnsi"/>
        </w:rPr>
        <w:t xml:space="preserve"> Other adaptation measures include aquaculture relocating to less-exposed areas, fish health management, water recycling, feed efficiencies, developing better-adapted seed stock, improved monitoring and early warning systems and improving value-addition (FAO, 2016b). </w:t>
      </w:r>
    </w:p>
    <w:p w:rsidR="00931DF6" w:rsidRPr="003859B6" w:rsidRDefault="00931DF6" w:rsidP="00931DF6">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65</w:instrText>
      </w:r>
      <w:r w:rsidRPr="003859B6">
        <w:fldChar w:fldCharType="end"/>
      </w:r>
      <w:r w:rsidRPr="003859B6">
        <w:instrText>.</w:instrText>
      </w:r>
      <w:r w:rsidRPr="003859B6">
        <w:tab/>
      </w:r>
      <w:r w:rsidRPr="003859B6">
        <w:fldChar w:fldCharType="end"/>
      </w:r>
      <w:r w:rsidRPr="003859B6">
        <w:t xml:space="preserve"> Investment in research in these areas will prove crucial. Promising areas, which have shown success in other countries, include domesticating species resistant to higher salinity and temperatures </w:t>
      </w:r>
      <w:r w:rsidRPr="003859B6">
        <w:rPr>
          <w:rFonts w:eastAsiaTheme="minorHAnsi"/>
        </w:rPr>
        <w:t>(Shelton</w:t>
      </w:r>
      <w:r w:rsidR="00FC04BD" w:rsidRPr="003859B6">
        <w:rPr>
          <w:rFonts w:eastAsiaTheme="minorHAnsi"/>
        </w:rPr>
        <w:t>,</w:t>
      </w:r>
      <w:r w:rsidRPr="003859B6">
        <w:rPr>
          <w:rFonts w:eastAsiaTheme="minorHAnsi"/>
        </w:rPr>
        <w:t xml:space="preserve"> 2014) and identifying </w:t>
      </w:r>
      <w:r w:rsidRPr="003859B6">
        <w:t>preventative treatments for new diseases, animal physiology, better feeds and feeding practices, and technology transfers, especially to small-scale farmers (De Silva and Soto, 2009). Coastal management and capacity building can also help indirectly. Restoration of mangroves, for example, can buffer coastal communities from storm surges or erosion</w:t>
      </w:r>
      <w:r w:rsidR="00A83DF1" w:rsidRPr="003859B6">
        <w:t>,</w:t>
      </w:r>
      <w:r w:rsidRPr="003859B6">
        <w:t xml:space="preserve"> while disaster risk management and early warning systems may help fishers and aqua-farmers cope with disruptions in production. </w:t>
      </w:r>
    </w:p>
    <w:p w:rsidR="00E53683" w:rsidRPr="003859B6" w:rsidRDefault="00931DF6" w:rsidP="00E53683">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66</w:instrText>
      </w:r>
      <w:r w:rsidRPr="003859B6">
        <w:fldChar w:fldCharType="end"/>
      </w:r>
      <w:r w:rsidRPr="003859B6">
        <w:instrText>.</w:instrText>
      </w:r>
      <w:r w:rsidRPr="003859B6">
        <w:tab/>
      </w:r>
      <w:r w:rsidRPr="003859B6">
        <w:fldChar w:fldCharType="end"/>
      </w:r>
      <w:r w:rsidRPr="003859B6">
        <w:t>Finally, aquaculture insurance or disaster-linked cash transfers can help limit bankruptcies result</w:t>
      </w:r>
      <w:r w:rsidR="00A83DF1" w:rsidRPr="003859B6">
        <w:t>ing from</w:t>
      </w:r>
      <w:r w:rsidRPr="003859B6">
        <w:t xml:space="preserve"> losses </w:t>
      </w:r>
      <w:r w:rsidR="00A83DF1" w:rsidRPr="003859B6">
        <w:t>caused by</w:t>
      </w:r>
      <w:r w:rsidRPr="003859B6">
        <w:t xml:space="preserve"> climatic events. As mandated by Law No. 19/2013, the government must develop agricultural insurance to cushion farmers from financial loss due to natural calamities, but there are </w:t>
      </w:r>
      <w:r w:rsidR="00A83DF1" w:rsidRPr="003859B6">
        <w:t xml:space="preserve">as yet </w:t>
      </w:r>
      <w:r w:rsidRPr="003859B6">
        <w:t xml:space="preserve">no provisions for fishers or aquaculture farmers. </w:t>
      </w:r>
    </w:p>
    <w:p w:rsidR="00B02A67" w:rsidRPr="003859B6" w:rsidRDefault="001D6B60" w:rsidP="00B02A67">
      <w:pPr>
        <w:pStyle w:val="Heading2"/>
      </w:pPr>
      <w:bookmarkStart w:id="73" w:name="_Toc472354584"/>
      <w:bookmarkStart w:id="74" w:name="_Toc472936630"/>
      <w:bookmarkStart w:id="75" w:name="_Toc472954978"/>
      <w:bookmarkStart w:id="76" w:name="_Toc474487634"/>
      <w:r w:rsidRPr="003859B6">
        <w:t>3</w:t>
      </w:r>
      <w:r w:rsidR="00B02A67" w:rsidRPr="003859B6">
        <w:t xml:space="preserve">. </w:t>
      </w:r>
      <w:r w:rsidR="00351A14" w:rsidRPr="003859B6">
        <w:t>Increasing</w:t>
      </w:r>
      <w:r w:rsidR="00B02A67" w:rsidRPr="003859B6">
        <w:t xml:space="preserve"> </w:t>
      </w:r>
      <w:r w:rsidR="00D82A59" w:rsidRPr="003859B6">
        <w:t xml:space="preserve">the incomes of </w:t>
      </w:r>
      <w:r w:rsidR="00B02A67" w:rsidRPr="003859B6">
        <w:t>fishers and aqua</w:t>
      </w:r>
      <w:r w:rsidR="00374B7C" w:rsidRPr="003859B6">
        <w:t>-</w:t>
      </w:r>
      <w:r w:rsidR="00B02A67" w:rsidRPr="003859B6">
        <w:t xml:space="preserve">farmers </w:t>
      </w:r>
      <w:r w:rsidR="00D82A59" w:rsidRPr="003859B6">
        <w:t>while improving</w:t>
      </w:r>
      <w:r w:rsidR="00562A0A" w:rsidRPr="003859B6">
        <w:t xml:space="preserve"> </w:t>
      </w:r>
      <w:r w:rsidR="00EB7F7E" w:rsidRPr="003859B6">
        <w:t xml:space="preserve">consumer </w:t>
      </w:r>
      <w:r w:rsidR="00562A0A" w:rsidRPr="003859B6">
        <w:t xml:space="preserve">access </w:t>
      </w:r>
      <w:r w:rsidR="00C0694F" w:rsidRPr="003859B6">
        <w:t xml:space="preserve">to </w:t>
      </w:r>
      <w:r w:rsidR="00562A0A" w:rsidRPr="003859B6">
        <w:t>seafood</w:t>
      </w:r>
      <w:bookmarkEnd w:id="73"/>
      <w:bookmarkEnd w:id="74"/>
      <w:bookmarkEnd w:id="75"/>
      <w:bookmarkEnd w:id="76"/>
    </w:p>
    <w:p w:rsidR="00C82D0B" w:rsidRPr="003859B6" w:rsidRDefault="001144A2" w:rsidP="006D3F3E">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67</w:instrText>
      </w:r>
      <w:r w:rsidRPr="003859B6">
        <w:fldChar w:fldCharType="end"/>
      </w:r>
      <w:r w:rsidRPr="003859B6">
        <w:instrText>.</w:instrText>
      </w:r>
      <w:r w:rsidRPr="003859B6">
        <w:tab/>
      </w:r>
      <w:r w:rsidRPr="003859B6">
        <w:fldChar w:fldCharType="end"/>
      </w:r>
      <w:r w:rsidR="002D499D" w:rsidRPr="003859B6">
        <w:t xml:space="preserve"> Continued production growth under a business as usual scenario is not an option: as shown in </w:t>
      </w:r>
      <w:r w:rsidR="00A83DF1" w:rsidRPr="003859B6">
        <w:t xml:space="preserve">Section </w:t>
      </w:r>
      <w:r w:rsidR="00EC38E2" w:rsidRPr="003859B6">
        <w:t>1</w:t>
      </w:r>
      <w:r w:rsidR="002D499D" w:rsidRPr="003859B6">
        <w:t>, most fish stocks cannot absorb further increases in catch effort</w:t>
      </w:r>
      <w:r w:rsidR="00A83DF1" w:rsidRPr="003859B6">
        <w:t>,</w:t>
      </w:r>
      <w:r w:rsidR="002D499D" w:rsidRPr="003859B6">
        <w:t xml:space="preserve"> and expansion of aquaculture production will only be sustainable if it consumes less land and water resources and</w:t>
      </w:r>
      <w:r w:rsidR="00A83DF1" w:rsidRPr="003859B6">
        <w:t xml:space="preserve"> if</w:t>
      </w:r>
      <w:r w:rsidR="002D499D" w:rsidRPr="003859B6">
        <w:t xml:space="preserve"> externalities are better controlled to avoid degradation of </w:t>
      </w:r>
      <w:r w:rsidR="00FE3D27" w:rsidRPr="003859B6">
        <w:t xml:space="preserve">the </w:t>
      </w:r>
      <w:r w:rsidR="002D499D" w:rsidRPr="003859B6">
        <w:t>ecosystems</w:t>
      </w:r>
      <w:r w:rsidR="00A83DF1" w:rsidRPr="003859B6">
        <w:t xml:space="preserve"> on which</w:t>
      </w:r>
      <w:r w:rsidR="00FE3D27" w:rsidRPr="003859B6">
        <w:t xml:space="preserve"> it depends</w:t>
      </w:r>
      <w:r w:rsidR="002D499D" w:rsidRPr="003859B6">
        <w:t xml:space="preserve">. </w:t>
      </w:r>
      <w:r w:rsidR="00B02A67" w:rsidRPr="003859B6">
        <w:t xml:space="preserve">Increasing the economic returns to capture and aquaculture production is </w:t>
      </w:r>
      <w:r w:rsidR="002D499D" w:rsidRPr="003859B6">
        <w:t xml:space="preserve">thus </w:t>
      </w:r>
      <w:r w:rsidR="00B02A67" w:rsidRPr="003859B6">
        <w:t xml:space="preserve">the key to improving the incomes of fishers and </w:t>
      </w:r>
      <w:r w:rsidR="00374B7C" w:rsidRPr="003859B6">
        <w:t>aqua-</w:t>
      </w:r>
      <w:r w:rsidR="00B02A67" w:rsidRPr="003859B6">
        <w:t>farmers</w:t>
      </w:r>
      <w:r w:rsidR="00CA2B47" w:rsidRPr="003859B6">
        <w:t xml:space="preserve"> and thus their access to food and their resilience to food security risks</w:t>
      </w:r>
      <w:r w:rsidR="00CF5A0A" w:rsidRPr="003859B6">
        <w:t xml:space="preserve"> in the long run.</w:t>
      </w:r>
    </w:p>
    <w:p w:rsidR="00FB5F7D" w:rsidRPr="003859B6" w:rsidRDefault="00E13652" w:rsidP="00FB5F7D">
      <w:pPr>
        <w:pStyle w:val="Heading3"/>
      </w:pPr>
      <w:bookmarkStart w:id="77" w:name="_Toc472936631"/>
      <w:bookmarkStart w:id="78" w:name="_Toc472954979"/>
      <w:bookmarkStart w:id="79" w:name="_Toc474487635"/>
      <w:r w:rsidRPr="003859B6">
        <w:t>Direct support</w:t>
      </w:r>
      <w:r w:rsidR="00F12F78" w:rsidRPr="003859B6">
        <w:t xml:space="preserve">: </w:t>
      </w:r>
      <w:r w:rsidR="00A32E5D" w:rsidRPr="003859B6">
        <w:t>T</w:t>
      </w:r>
      <w:r w:rsidR="00F12F78" w:rsidRPr="003859B6">
        <w:t>he need for decoupling</w:t>
      </w:r>
      <w:bookmarkEnd w:id="77"/>
      <w:bookmarkEnd w:id="78"/>
      <w:bookmarkEnd w:id="79"/>
      <w:r w:rsidR="00FB5F7D" w:rsidRPr="003859B6">
        <w:t xml:space="preserve"> </w:t>
      </w:r>
    </w:p>
    <w:p w:rsidR="00FC4656" w:rsidRPr="003859B6" w:rsidRDefault="003A38AE" w:rsidP="00FC4656">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68</w:instrText>
      </w:r>
      <w:r w:rsidRPr="003859B6">
        <w:fldChar w:fldCharType="end"/>
      </w:r>
      <w:r w:rsidRPr="003859B6">
        <w:instrText>.</w:instrText>
      </w:r>
      <w:r w:rsidRPr="003859B6">
        <w:tab/>
      </w:r>
      <w:r w:rsidRPr="003859B6">
        <w:fldChar w:fldCharType="end"/>
      </w:r>
      <w:r w:rsidR="00153184" w:rsidRPr="003859B6">
        <w:t xml:space="preserve">In </w:t>
      </w:r>
      <w:r w:rsidR="00FE3D27" w:rsidRPr="003859B6">
        <w:t>an effort to improve the incomes of fishers and aqua-farmers</w:t>
      </w:r>
      <w:r w:rsidR="00153184" w:rsidRPr="003859B6">
        <w:t>, t</w:t>
      </w:r>
      <w:r w:rsidR="00BE7A77" w:rsidRPr="003859B6">
        <w:t xml:space="preserve">he Government of Indonesia </w:t>
      </w:r>
      <w:r w:rsidR="00153184" w:rsidRPr="003859B6">
        <w:t>subsidi</w:t>
      </w:r>
      <w:r w:rsidR="00E71A95" w:rsidRPr="003859B6">
        <w:t>s</w:t>
      </w:r>
      <w:r w:rsidR="00153184" w:rsidRPr="003859B6">
        <w:t>es fuel for the sector as well as the renewal of the artisanal fleet</w:t>
      </w:r>
      <w:r w:rsidR="001025CA" w:rsidRPr="003859B6">
        <w:t>.</w:t>
      </w:r>
      <w:r w:rsidR="009A0344" w:rsidRPr="003859B6">
        <w:t xml:space="preserve"> The </w:t>
      </w:r>
      <w:r w:rsidR="008B1C89" w:rsidRPr="003859B6">
        <w:t xml:space="preserve">government </w:t>
      </w:r>
      <w:r w:rsidR="001025CA" w:rsidRPr="003859B6">
        <w:t xml:space="preserve">also </w:t>
      </w:r>
      <w:r w:rsidR="00153184" w:rsidRPr="003859B6">
        <w:t>invests in artisanal aquaculture plants</w:t>
      </w:r>
      <w:r w:rsidR="001025CA" w:rsidRPr="003859B6">
        <w:t xml:space="preserve"> </w:t>
      </w:r>
      <w:r w:rsidR="00562A0A" w:rsidRPr="003859B6">
        <w:t xml:space="preserve">creation </w:t>
      </w:r>
      <w:r w:rsidR="001025CA" w:rsidRPr="003859B6">
        <w:t>and</w:t>
      </w:r>
      <w:r w:rsidR="00153184" w:rsidRPr="003859B6">
        <w:t xml:space="preserve"> supports the development of </w:t>
      </w:r>
      <w:r w:rsidR="00F66AB9" w:rsidRPr="003859B6">
        <w:t xml:space="preserve">cheaper </w:t>
      </w:r>
      <w:r w:rsidR="00153184" w:rsidRPr="003859B6">
        <w:t xml:space="preserve">feed </w:t>
      </w:r>
      <w:r w:rsidR="001025CA" w:rsidRPr="003859B6">
        <w:t>production</w:t>
      </w:r>
      <w:r w:rsidR="00F66AB9" w:rsidRPr="003859B6">
        <w:t xml:space="preserve"> based on locally-sourced ingredients</w:t>
      </w:r>
      <w:r w:rsidR="001025CA" w:rsidRPr="003859B6">
        <w:t>.</w:t>
      </w:r>
      <w:r w:rsidR="00D777C5" w:rsidRPr="003859B6">
        <w:t xml:space="preserve"> </w:t>
      </w:r>
      <w:r w:rsidRPr="003859B6">
        <w:t>Direct support to fishers and aquaculture producers</w:t>
      </w:r>
      <w:r w:rsidR="009A0344" w:rsidRPr="003859B6">
        <w:t xml:space="preserve">, </w:t>
      </w:r>
      <w:r w:rsidRPr="003859B6">
        <w:t xml:space="preserve">which </w:t>
      </w:r>
      <w:r w:rsidR="00AC5F8F" w:rsidRPr="003859B6">
        <w:t>consists</w:t>
      </w:r>
      <w:r w:rsidRPr="003859B6">
        <w:t xml:space="preserve"> of </w:t>
      </w:r>
      <w:r w:rsidR="009A0344" w:rsidRPr="003859B6">
        <w:t>fuel tax concessions and subsidies for vessels and equipment</w:t>
      </w:r>
      <w:r w:rsidR="00BF3EFB" w:rsidRPr="003859B6">
        <w:t>, or equipment and inputs for aquaculture,</w:t>
      </w:r>
      <w:r w:rsidR="009A0344" w:rsidRPr="003859B6">
        <w:t xml:space="preserve"> </w:t>
      </w:r>
      <w:r w:rsidR="00E13652" w:rsidRPr="003859B6">
        <w:t>totalled</w:t>
      </w:r>
      <w:r w:rsidR="009A0344" w:rsidRPr="003859B6">
        <w:t xml:space="preserve"> </w:t>
      </w:r>
      <w:r w:rsidR="00B63681" w:rsidRPr="003859B6">
        <w:t xml:space="preserve">more </w:t>
      </w:r>
      <w:r w:rsidR="009A0344" w:rsidRPr="003859B6">
        <w:t>than two</w:t>
      </w:r>
      <w:r w:rsidR="00AC5F8F" w:rsidRPr="003859B6">
        <w:t>-</w:t>
      </w:r>
      <w:r w:rsidR="009A0344" w:rsidRPr="003859B6">
        <w:t>thirds of</w:t>
      </w:r>
      <w:r w:rsidR="009A0344" w:rsidRPr="003859B6" w:rsidDel="00AC5F8F">
        <w:t xml:space="preserve"> </w:t>
      </w:r>
      <w:r w:rsidR="00AC5F8F" w:rsidRPr="003859B6">
        <w:t xml:space="preserve">government </w:t>
      </w:r>
      <w:r w:rsidR="009A0344" w:rsidRPr="003859B6">
        <w:t>support to fisheries</w:t>
      </w:r>
      <w:r w:rsidR="00BF3EFB" w:rsidRPr="003859B6">
        <w:t xml:space="preserve"> and more than three</w:t>
      </w:r>
      <w:r w:rsidR="00AC5F8F" w:rsidRPr="003859B6">
        <w:t>-</w:t>
      </w:r>
      <w:r w:rsidR="00BF3EFB" w:rsidRPr="003859B6">
        <w:t xml:space="preserve">quarters of </w:t>
      </w:r>
      <w:r w:rsidR="00AC5F8F" w:rsidRPr="003859B6">
        <w:t xml:space="preserve">government </w:t>
      </w:r>
      <w:r w:rsidR="00BF3EFB" w:rsidRPr="003859B6">
        <w:t>support to aquaculture</w:t>
      </w:r>
      <w:r w:rsidR="009A0344" w:rsidRPr="003859B6">
        <w:t xml:space="preserve"> in 2014 and 2015</w:t>
      </w:r>
      <w:r w:rsidR="002B6099" w:rsidRPr="003859B6">
        <w:t xml:space="preserve"> (</w:t>
      </w:r>
      <w:r w:rsidR="00AC5F8F" w:rsidRPr="003859B6">
        <w:t xml:space="preserve">Figure </w:t>
      </w:r>
      <w:r w:rsidR="002B6099" w:rsidRPr="003859B6">
        <w:t>8)</w:t>
      </w:r>
      <w:r w:rsidR="009A0344" w:rsidRPr="003859B6">
        <w:t>.</w:t>
      </w:r>
    </w:p>
    <w:p w:rsidR="003A38AE" w:rsidRPr="003859B6" w:rsidRDefault="003A38AE" w:rsidP="00FC4656">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69</w:instrText>
      </w:r>
      <w:r w:rsidRPr="003859B6">
        <w:fldChar w:fldCharType="end"/>
      </w:r>
      <w:r w:rsidRPr="003859B6">
        <w:instrText>.</w:instrText>
      </w:r>
      <w:r w:rsidRPr="003859B6">
        <w:tab/>
      </w:r>
      <w:r w:rsidRPr="003859B6">
        <w:fldChar w:fldCharType="end"/>
      </w:r>
      <w:r w:rsidRPr="003859B6">
        <w:t xml:space="preserve"> Of these, fuel tax concessions (available to artisanal fishers and small-scale aqua-</w:t>
      </w:r>
      <w:r w:rsidR="005D053F" w:rsidRPr="003859B6">
        <w:t>farmers</w:t>
      </w:r>
      <w:r w:rsidRPr="003859B6">
        <w:t xml:space="preserve"> only) </w:t>
      </w:r>
      <w:r w:rsidR="00E71A95" w:rsidRPr="003859B6">
        <w:t>cost</w:t>
      </w:r>
      <w:r w:rsidRPr="003859B6">
        <w:t xml:space="preserve"> more than 150 USD million in 2015</w:t>
      </w:r>
      <w:r w:rsidR="00AC5F8F" w:rsidRPr="003859B6">
        <w:t xml:space="preserve"> –</w:t>
      </w:r>
      <w:r w:rsidRPr="003859B6">
        <w:t xml:space="preserve"> </w:t>
      </w:r>
      <w:r w:rsidR="00AC5F8F" w:rsidRPr="003859B6">
        <w:t>equating to</w:t>
      </w:r>
      <w:r w:rsidRPr="003859B6">
        <w:t xml:space="preserve"> more than half of total support, despite a significant reduction from previous years (Figure 8).</w:t>
      </w:r>
    </w:p>
    <w:p w:rsidR="00B63681" w:rsidRPr="003859B6" w:rsidRDefault="00B63681" w:rsidP="00772943">
      <w:pPr>
        <w:pStyle w:val="FigureTitle"/>
      </w:pPr>
      <w:r w:rsidRPr="003859B6">
        <w:fldChar w:fldCharType="begin"/>
      </w:r>
      <w:r w:rsidRPr="003859B6">
        <w:instrText xml:space="preserve"> MACROBUTTON NUMBERING Figure </w:instrText>
      </w:r>
      <w:r w:rsidRPr="003859B6">
        <w:fldChar w:fldCharType="begin"/>
      </w:r>
      <w:r w:rsidRPr="003859B6">
        <w:instrText xml:space="preserve"> SEQ  figure</w:instrText>
      </w:r>
      <w:r w:rsidRPr="003859B6">
        <w:fldChar w:fldCharType="separate"/>
      </w:r>
      <w:r w:rsidR="003859B6">
        <w:rPr>
          <w:noProof/>
        </w:rPr>
        <w:instrText>8</w:instrText>
      </w:r>
      <w:r w:rsidRPr="003859B6">
        <w:fldChar w:fldCharType="end"/>
      </w:r>
      <w:r w:rsidRPr="003859B6">
        <w:instrText>.</w:instrText>
      </w:r>
      <w:r w:rsidRPr="003859B6">
        <w:tab/>
      </w:r>
      <w:r w:rsidRPr="003859B6">
        <w:fldChar w:fldCharType="end"/>
      </w:r>
      <w:r w:rsidR="00772943" w:rsidRPr="003859B6">
        <w:t xml:space="preserve">Support to fisheries </w:t>
      </w:r>
      <w:r w:rsidR="0064057B" w:rsidRPr="003859B6">
        <w:t xml:space="preserve">and aquaculture </w:t>
      </w:r>
      <w:r w:rsidR="00772943" w:rsidRPr="003859B6">
        <w:t>2014-2015</w:t>
      </w:r>
      <w:r w:rsidR="007A4B66" w:rsidRPr="003859B6">
        <w:fldChar w:fldCharType="begin"/>
      </w:r>
      <w:r w:rsidR="007A4B66" w:rsidRPr="003859B6">
        <w:instrText xml:space="preserve"> TC \f f \l 2 "</w:instrText>
      </w:r>
      <w:bookmarkStart w:id="80" w:name="_Toc473280385"/>
      <w:r w:rsidR="007A4B66" w:rsidRPr="003859B6">
        <w:instrText>Figure 8. Support to fisheries and aquaculture 2014-2015</w:instrText>
      </w:r>
      <w:bookmarkEnd w:id="80"/>
      <w:r w:rsidR="007A4B66" w:rsidRPr="003859B6">
        <w:instrText xml:space="preserve">"  </w:instrText>
      </w:r>
      <w:r w:rsidR="007A4B66" w:rsidRPr="003859B6">
        <w:fldChar w:fldCharType="end"/>
      </w:r>
    </w:p>
    <w:p w:rsidR="005D5228" w:rsidRPr="003859B6" w:rsidRDefault="005D5228" w:rsidP="00B63681">
      <w:pPr>
        <w:pStyle w:val="FigureTitle"/>
        <w:rPr>
          <w:b w:val="0"/>
        </w:rPr>
      </w:pPr>
      <w:r w:rsidRPr="003859B6">
        <w:rPr>
          <w:b w:val="0"/>
        </w:rPr>
        <w:t>Fisheries</w:t>
      </w:r>
    </w:p>
    <w:p w:rsidR="005D5228" w:rsidRPr="003859B6" w:rsidRDefault="003A383D" w:rsidP="005D5228">
      <w:pPr>
        <w:pStyle w:val="FigureSub-title"/>
      </w:pPr>
      <w:r w:rsidRPr="003859B6">
        <w:rPr>
          <w:noProof/>
          <w:lang w:eastAsia="en-GB"/>
        </w:rPr>
        <w:drawing>
          <wp:inline distT="0" distB="0" distL="0" distR="0" wp14:anchorId="33D0CC68" wp14:editId="56AAE617">
            <wp:extent cx="5538470" cy="34594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38470" cy="3459480"/>
                    </a:xfrm>
                    <a:prstGeom prst="rect">
                      <a:avLst/>
                    </a:prstGeom>
                    <a:noFill/>
                    <a:ln>
                      <a:noFill/>
                    </a:ln>
                  </pic:spPr>
                </pic:pic>
              </a:graphicData>
            </a:graphic>
          </wp:inline>
        </w:drawing>
      </w:r>
      <w:r w:rsidR="005D5228" w:rsidRPr="003859B6">
        <w:t xml:space="preserve"> Aquaculture</w:t>
      </w:r>
    </w:p>
    <w:p w:rsidR="003A383D" w:rsidRPr="003859B6" w:rsidRDefault="00D3005E" w:rsidP="005D5228">
      <w:pPr>
        <w:pStyle w:val="SourceDescription"/>
        <w:jc w:val="center"/>
      </w:pPr>
      <w:r w:rsidRPr="003859B6">
        <w:rPr>
          <w:noProof/>
        </w:rPr>
        <w:pict w14:anchorId="490F2824">
          <v:shape id="TextBox 898" o:spid="_x0000_s1127" type="#_x0000_t202" style="position:absolute;left:0;text-align:left;margin-left:310.45pt;margin-top:169.9pt;width:83pt;height:89.4pt;z-index:25165824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" filled="f" stroked="f">
            <v:textbox style="mso-next-textbox:#TextBox 898">
              <w:txbxContent>
                <w:p w:rsidR="00B6220B" w:rsidRDefault="00B6220B" w:rsidP="005D5228">
                  <w:pPr>
                    <w:pStyle w:val="NormalWeb"/>
                    <w:jc w:val="center"/>
                  </w:pPr>
                  <w:r w:rsidRPr="005D5228">
                    <w:rPr>
                      <w:rFonts w:ascii="Arial Narrow" w:hAnsi="Arial Narrow" w:cs="Arial"/>
                      <w:b/>
                      <w:bCs/>
                      <w:color w:val="FFFFFF"/>
                      <w:sz w:val="15"/>
                      <w:szCs w:val="15"/>
                      <w:lang w:val="en-US"/>
                    </w:rPr>
                    <w:t>49%</w:t>
                  </w:r>
                </w:p>
              </w:txbxContent>
            </v:textbox>
          </v:shape>
        </w:pict>
      </w:r>
      <w:r w:rsidRPr="003859B6">
        <w:rPr>
          <w:noProof/>
        </w:rPr>
        <w:pict w14:anchorId="3672B8AA">
          <v:shape id="TextBox 899" o:spid="_x0000_s1126" type="#_x0000_t202" style="position:absolute;left:0;text-align:left;margin-left:107.4pt;margin-top:169.75pt;width:81.65pt;height:89.55pt;z-index:25165824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" filled="f" stroked="f">
            <v:textbox style="mso-next-textbox:#TextBox 899">
              <w:txbxContent>
                <w:p w:rsidR="00B6220B" w:rsidRDefault="00B6220B" w:rsidP="005D5228">
                  <w:pPr>
                    <w:pStyle w:val="NormalWeb"/>
                    <w:jc w:val="center"/>
                  </w:pPr>
                  <w:r w:rsidRPr="005D5228">
                    <w:rPr>
                      <w:rFonts w:ascii="Arial Narrow" w:hAnsi="Arial Narrow" w:cs="Arial"/>
                      <w:b/>
                      <w:bCs/>
                      <w:color w:val="FFFFFF"/>
                      <w:sz w:val="15"/>
                      <w:szCs w:val="15"/>
                      <w:lang w:val="en-US"/>
                    </w:rPr>
                    <w:t>58%</w:t>
                  </w:r>
                </w:p>
              </w:txbxContent>
            </v:textbox>
          </v:shape>
        </w:pict>
      </w:r>
      <w:r w:rsidR="005D5228" w:rsidRPr="003859B6">
        <w:t xml:space="preserve"> </w:t>
      </w:r>
      <w:r w:rsidR="00A74957" w:rsidRPr="003859B6">
        <w:rPr>
          <w:noProof/>
          <w:lang w:eastAsia="en-GB"/>
        </w:rPr>
        <w:drawing>
          <wp:inline distT="0" distB="0" distL="0" distR="0" wp14:anchorId="4C66626E" wp14:editId="54165F41">
            <wp:extent cx="5538949" cy="3461814"/>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411B6" w:rsidRPr="003859B6" w:rsidRDefault="006411B6" w:rsidP="006411B6">
      <w:pPr>
        <w:pStyle w:val="SourceDescription"/>
      </w:pPr>
      <w:r w:rsidRPr="003859B6">
        <w:t xml:space="preserve">Source: </w:t>
      </w:r>
      <w:r w:rsidR="00D3051D" w:rsidRPr="003859B6">
        <w:t>OECD</w:t>
      </w:r>
      <w:r w:rsidR="00E90CF5" w:rsidRPr="003859B6">
        <w:t xml:space="preserve"> (</w:t>
      </w:r>
      <w:r w:rsidR="00DC53AB" w:rsidRPr="003859B6">
        <w:t>2017</w:t>
      </w:r>
      <w:r w:rsidR="00D3051D" w:rsidRPr="003859B6">
        <w:t>)</w:t>
      </w:r>
      <w:r w:rsidR="00DA2BE3" w:rsidRPr="003859B6">
        <w:t xml:space="preserve">, </w:t>
      </w:r>
      <w:r w:rsidR="00DA2BE3" w:rsidRPr="003859B6">
        <w:rPr>
          <w:i/>
        </w:rPr>
        <w:t>Fisheries Support Estimate</w:t>
      </w:r>
      <w:r w:rsidR="00DA2BE3" w:rsidRPr="003859B6">
        <w:t xml:space="preserve">, </w:t>
      </w:r>
      <w:hyperlink r:id="rId31" w:history="1">
        <w:r w:rsidR="00DA2BE3" w:rsidRPr="003859B6">
          <w:rPr>
            <w:rStyle w:val="Hyperlink"/>
          </w:rPr>
          <w:t>https://stats.oecd.org/Index.aspx?DataSetCode=FISH_FSE</w:t>
        </w:r>
      </w:hyperlink>
      <w:r w:rsidR="00DA2BE3" w:rsidRPr="003859B6">
        <w:t xml:space="preserve">. </w:t>
      </w:r>
    </w:p>
    <w:p w:rsidR="00806B94" w:rsidRPr="003859B6" w:rsidRDefault="00806B94" w:rsidP="00806B9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70</w:instrText>
      </w:r>
      <w:r w:rsidRPr="003859B6">
        <w:fldChar w:fldCharType="end"/>
      </w:r>
      <w:r w:rsidRPr="003859B6">
        <w:instrText>.</w:instrText>
      </w:r>
      <w:r w:rsidRPr="003859B6">
        <w:tab/>
      </w:r>
      <w:r w:rsidRPr="003859B6">
        <w:fldChar w:fldCharType="end"/>
      </w:r>
      <w:r w:rsidR="006D150A" w:rsidRPr="003859B6">
        <w:t xml:space="preserve">Most of the remaining direct support is allocated to </w:t>
      </w:r>
      <w:r w:rsidR="00F12F78" w:rsidRPr="003859B6">
        <w:t xml:space="preserve">aquaculture production equipment and </w:t>
      </w:r>
      <w:r w:rsidR="003A0B4F" w:rsidRPr="003859B6">
        <w:t xml:space="preserve">the distribution of </w:t>
      </w:r>
      <w:r w:rsidR="006D150A" w:rsidRPr="003859B6">
        <w:t xml:space="preserve">fishing boats. </w:t>
      </w:r>
      <w:r w:rsidR="00F12F78" w:rsidRPr="003859B6">
        <w:t xml:space="preserve">On the aquaculture side, floating cage construction received USD 450 000 dollars in 2015 and almost double </w:t>
      </w:r>
      <w:r w:rsidR="003A0B4F" w:rsidRPr="003859B6">
        <w:t xml:space="preserve">this </w:t>
      </w:r>
      <w:r w:rsidR="00F12F78" w:rsidRPr="003859B6">
        <w:t>in 2016</w:t>
      </w:r>
      <w:r w:rsidR="003A0B4F" w:rsidRPr="003859B6">
        <w:t>,</w:t>
      </w:r>
      <w:r w:rsidR="00F12F78" w:rsidRPr="003859B6">
        <w:t xml:space="preserve"> while over USD 2.5 million were allocated to fish feed production and transport machinery and infrastructure in 2016. </w:t>
      </w:r>
      <w:r w:rsidR="006E72CB" w:rsidRPr="003859B6">
        <w:t>With respect to</w:t>
      </w:r>
      <w:r w:rsidR="00F12F78" w:rsidRPr="003859B6">
        <w:t xml:space="preserve"> fisheries, a budget of over USD 200 million was allocated to the construction of 3 450 new fishing boats in 2016 (95% of which will be under 10 GT). These fishing boats will be distributed to fisher co</w:t>
      </w:r>
      <w:r w:rsidR="006E72CB" w:rsidRPr="003859B6">
        <w:t>-</w:t>
      </w:r>
      <w:r w:rsidR="00F12F78" w:rsidRPr="003859B6">
        <w:t xml:space="preserve">operatives, which primarily </w:t>
      </w:r>
      <w:r w:rsidR="006E72CB" w:rsidRPr="003859B6">
        <w:t>consist</w:t>
      </w:r>
      <w:r w:rsidR="00F12F78" w:rsidRPr="003859B6">
        <w:t xml:space="preserve"> of artisanal fishers. At the same time, the government is investing in </w:t>
      </w:r>
      <w:r w:rsidR="00E71A95" w:rsidRPr="003859B6">
        <w:t xml:space="preserve">the </w:t>
      </w:r>
      <w:r w:rsidR="00F12F78" w:rsidRPr="003859B6">
        <w:t>moderni</w:t>
      </w:r>
      <w:r w:rsidR="00E71A95" w:rsidRPr="003859B6">
        <w:t>s</w:t>
      </w:r>
      <w:r w:rsidR="00F12F78" w:rsidRPr="003859B6">
        <w:t>ation of the artisanal fleet. A separate budget of almost USD 450 000 was provided in 2015 for the purchase of machines, gear, solar cells, submersible lamps and other equipment. Grant aid was also provided to assist fishermen and their livelihoods in the border areas of Indonesian territory by securing boats, purchasing gear and equipment (</w:t>
      </w:r>
      <w:r w:rsidR="00581CBF" w:rsidRPr="003859B6">
        <w:t xml:space="preserve">OECD, </w:t>
      </w:r>
      <w:r w:rsidR="00DC53AB" w:rsidRPr="003859B6">
        <w:t>2017</w:t>
      </w:r>
      <w:r w:rsidR="00F12F78" w:rsidRPr="003859B6">
        <w:t>).</w:t>
      </w:r>
    </w:p>
    <w:p w:rsidR="00806B94" w:rsidRPr="003859B6" w:rsidRDefault="00806B94" w:rsidP="00806B94">
      <w:pPr>
        <w:pStyle w:val="Num-DocParagraph"/>
      </w:pPr>
      <w:r w:rsidRPr="003859B6">
        <w:rPr>
          <w:bCs/>
          <w:iCs/>
        </w:rPr>
        <w:fldChar w:fldCharType="begin"/>
      </w:r>
      <w:r w:rsidRPr="003859B6">
        <w:rPr>
          <w:bCs/>
          <w:iCs/>
        </w:rPr>
        <w:instrText xml:space="preserve"> MACROBUTTON NUMBERING </w:instrText>
      </w:r>
      <w:r w:rsidRPr="003859B6">
        <w:rPr>
          <w:bCs/>
          <w:iCs/>
        </w:rPr>
        <w:fldChar w:fldCharType="begin"/>
      </w:r>
      <w:r w:rsidRPr="003859B6">
        <w:rPr>
          <w:bCs/>
          <w:iCs/>
        </w:rPr>
        <w:instrText xml:space="preserve"> SEQ  dpara</w:instrText>
      </w:r>
      <w:r w:rsidRPr="003859B6">
        <w:rPr>
          <w:bCs/>
          <w:iCs/>
        </w:rPr>
        <w:fldChar w:fldCharType="separate"/>
      </w:r>
      <w:r w:rsidR="003859B6">
        <w:rPr>
          <w:bCs/>
          <w:iCs/>
          <w:noProof/>
        </w:rPr>
        <w:instrText>71</w:instrText>
      </w:r>
      <w:r w:rsidRPr="003859B6">
        <w:rPr>
          <w:bCs/>
          <w:iCs/>
        </w:rPr>
        <w:fldChar w:fldCharType="end"/>
      </w:r>
      <w:r w:rsidRPr="003859B6">
        <w:rPr>
          <w:bCs/>
          <w:iCs/>
        </w:rPr>
        <w:instrText>.</w:instrText>
      </w:r>
      <w:r w:rsidRPr="003859B6">
        <w:rPr>
          <w:bCs/>
          <w:iCs/>
        </w:rPr>
        <w:tab/>
      </w:r>
      <w:r w:rsidRPr="003859B6">
        <w:rPr>
          <w:bCs/>
          <w:iCs/>
        </w:rPr>
        <w:fldChar w:fldCharType="end"/>
      </w:r>
      <w:r w:rsidRPr="003859B6">
        <w:rPr>
          <w:bCs/>
          <w:iCs/>
        </w:rPr>
        <w:t>Allocation of these subsidies is likely to be costly</w:t>
      </w:r>
      <w:r w:rsidR="00466CC1" w:rsidRPr="003859B6">
        <w:rPr>
          <w:bCs/>
          <w:iCs/>
        </w:rPr>
        <w:t xml:space="preserve"> –</w:t>
      </w:r>
      <w:r w:rsidRPr="003859B6">
        <w:rPr>
          <w:bCs/>
          <w:iCs/>
        </w:rPr>
        <w:t xml:space="preserve"> given the transaction costs associated with selecting a small number of recipients among very large numbers of fishers</w:t>
      </w:r>
      <w:r w:rsidR="005D053F" w:rsidRPr="003859B6">
        <w:rPr>
          <w:bCs/>
          <w:iCs/>
        </w:rPr>
        <w:t xml:space="preserve"> and aqua-farmers</w:t>
      </w:r>
      <w:r w:rsidR="00466CC1" w:rsidRPr="003859B6">
        <w:rPr>
          <w:bCs/>
          <w:iCs/>
        </w:rPr>
        <w:t xml:space="preserve"> –</w:t>
      </w:r>
      <w:r w:rsidRPr="003859B6">
        <w:rPr>
          <w:bCs/>
          <w:iCs/>
        </w:rPr>
        <w:t xml:space="preserve"> and </w:t>
      </w:r>
      <w:r w:rsidR="00466CC1" w:rsidRPr="003859B6">
        <w:rPr>
          <w:bCs/>
          <w:iCs/>
        </w:rPr>
        <w:t xml:space="preserve">to </w:t>
      </w:r>
      <w:r w:rsidRPr="003859B6">
        <w:rPr>
          <w:bCs/>
          <w:iCs/>
        </w:rPr>
        <w:t>create incentives for corruption.</w:t>
      </w:r>
    </w:p>
    <w:p w:rsidR="00F12F78" w:rsidRPr="003859B6" w:rsidRDefault="00806B94" w:rsidP="00806B9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72</w:instrText>
      </w:r>
      <w:r w:rsidRPr="003859B6">
        <w:fldChar w:fldCharType="end"/>
      </w:r>
      <w:r w:rsidRPr="003859B6">
        <w:instrText>.</w:instrText>
      </w:r>
      <w:r w:rsidRPr="003859B6">
        <w:tab/>
      </w:r>
      <w:r w:rsidRPr="003859B6">
        <w:fldChar w:fldCharType="end"/>
      </w:r>
      <w:r w:rsidR="00D10D38" w:rsidRPr="003859B6">
        <w:t>For fisheries, productive support is more problematic. While investments have the potential to increase the incomes of recipients, they also increase fishing effort in a context of insufficient management of resources (</w:t>
      </w:r>
      <w:r w:rsidR="00466CC1" w:rsidRPr="003859B6">
        <w:t xml:space="preserve">Section </w:t>
      </w:r>
      <w:r w:rsidR="00D10D38" w:rsidRPr="003859B6">
        <w:t xml:space="preserve">3), leading to the </w:t>
      </w:r>
      <w:r w:rsidR="00E71A95" w:rsidRPr="003859B6">
        <w:t xml:space="preserve">common </w:t>
      </w:r>
      <w:r w:rsidR="00D10D38" w:rsidRPr="003859B6">
        <w:t xml:space="preserve">problem of declining productivity. </w:t>
      </w:r>
      <w:r w:rsidR="008B3196" w:rsidRPr="003859B6">
        <w:t xml:space="preserve">This support is based on the assumption that </w:t>
      </w:r>
      <w:r w:rsidR="00FB5F7D" w:rsidRPr="003859B6">
        <w:t xml:space="preserve">policies on illegal fishing have improved fish stocks and will continue to do so, hence increasing the availability of fish that can be caught by artisanal fishermen. </w:t>
      </w:r>
      <w:r w:rsidR="00D10D38" w:rsidRPr="003859B6">
        <w:t>However</w:t>
      </w:r>
      <w:r w:rsidR="005E28A4" w:rsidRPr="003859B6">
        <w:t xml:space="preserve">, as </w:t>
      </w:r>
      <w:r w:rsidR="00466CC1" w:rsidRPr="003859B6">
        <w:t xml:space="preserve">revealed </w:t>
      </w:r>
      <w:r w:rsidR="005E28A4" w:rsidRPr="003859B6">
        <w:t>in</w:t>
      </w:r>
      <w:r w:rsidR="005E28A4" w:rsidRPr="003859B6" w:rsidDel="00466CC1">
        <w:t xml:space="preserve"> </w:t>
      </w:r>
      <w:r w:rsidR="00466CC1" w:rsidRPr="003859B6">
        <w:t xml:space="preserve">Section </w:t>
      </w:r>
      <w:r w:rsidR="005E28A4" w:rsidRPr="003859B6">
        <w:t xml:space="preserve">2, the direct link between a decrease in IUU activities and </w:t>
      </w:r>
      <w:r w:rsidR="00466CC1" w:rsidRPr="003859B6">
        <w:t xml:space="preserve">the </w:t>
      </w:r>
      <w:r w:rsidR="005E28A4" w:rsidRPr="003859B6">
        <w:t>increased availability of fish for artisanal fishers in coastal areas may only be true for certain species. In addition, in the absence of effective control</w:t>
      </w:r>
      <w:r w:rsidR="00466CC1" w:rsidRPr="003859B6">
        <w:t>s</w:t>
      </w:r>
      <w:r w:rsidR="005E28A4" w:rsidRPr="003859B6">
        <w:t xml:space="preserve"> </w:t>
      </w:r>
      <w:r w:rsidR="00466CC1" w:rsidRPr="003859B6">
        <w:t xml:space="preserve">on </w:t>
      </w:r>
      <w:r w:rsidR="005E28A4" w:rsidRPr="003859B6">
        <w:t>domestic artisanal fisheries, stocks remain prone to overfishing.</w:t>
      </w:r>
      <w:r w:rsidR="005E28A4" w:rsidRPr="003859B6" w:rsidDel="00D10D38">
        <w:t xml:space="preserve"> </w:t>
      </w:r>
    </w:p>
    <w:p w:rsidR="00FB5F7D" w:rsidRPr="003859B6" w:rsidRDefault="00FB5F7D" w:rsidP="00FB5F7D">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73</w:instrText>
      </w:r>
      <w:r w:rsidRPr="003859B6">
        <w:fldChar w:fldCharType="end"/>
      </w:r>
      <w:r w:rsidRPr="003859B6">
        <w:instrText>.</w:instrText>
      </w:r>
      <w:r w:rsidRPr="003859B6">
        <w:tab/>
      </w:r>
      <w:r w:rsidRPr="003859B6">
        <w:fldChar w:fldCharType="end"/>
      </w:r>
      <w:r w:rsidRPr="003859B6">
        <w:t xml:space="preserve"> Offering direct support for livelihood diversification would be a better investment policy instead of </w:t>
      </w:r>
      <w:r w:rsidR="00733176" w:rsidRPr="003859B6">
        <w:t>support that risk</w:t>
      </w:r>
      <w:r w:rsidR="00E71A95" w:rsidRPr="003859B6">
        <w:t>ed</w:t>
      </w:r>
      <w:r w:rsidR="00733176" w:rsidRPr="003859B6">
        <w:t xml:space="preserve"> </w:t>
      </w:r>
      <w:r w:rsidRPr="003859B6">
        <w:t>encouraging new entrants to the sector.</w:t>
      </w:r>
      <w:r w:rsidR="00F64944" w:rsidRPr="003859B6">
        <w:t xml:space="preserve"> The development of alternative livelihood options for fishing and aqua-farming communities</w:t>
      </w:r>
      <w:r w:rsidR="00083DCF" w:rsidRPr="003859B6">
        <w:t xml:space="preserve"> –</w:t>
      </w:r>
      <w:r w:rsidR="00F64944" w:rsidRPr="003859B6">
        <w:t xml:space="preserve"> notably through investment in the provision of new skills</w:t>
      </w:r>
      <w:r w:rsidR="00083DCF" w:rsidRPr="003859B6">
        <w:t xml:space="preserve"> –</w:t>
      </w:r>
      <w:r w:rsidR="00F64944" w:rsidRPr="003859B6" w:rsidDel="006F3F44">
        <w:t xml:space="preserve"> </w:t>
      </w:r>
      <w:r w:rsidR="00E71A95" w:rsidRPr="003859B6">
        <w:t xml:space="preserve">can </w:t>
      </w:r>
      <w:r w:rsidR="00F64944" w:rsidRPr="003859B6">
        <w:t>be a long process</w:t>
      </w:r>
      <w:r w:rsidR="006F3F44" w:rsidRPr="003859B6">
        <w:t>,</w:t>
      </w:r>
      <w:r w:rsidR="00F64944" w:rsidRPr="003859B6">
        <w:t xml:space="preserve"> </w:t>
      </w:r>
      <w:r w:rsidR="006F3F44" w:rsidRPr="003859B6">
        <w:t xml:space="preserve">however, </w:t>
      </w:r>
      <w:r w:rsidR="00F64944" w:rsidRPr="003859B6">
        <w:t xml:space="preserve">and initial training may be needed to overcome traditional and conservative attitudes. Alongside primary services such as health care, clean water and sanitation, micro-enterprise programmes, vocational training such as teacher training, and support for trading in non-farm items such as handicrafts can be supported through the provision of capital assets, market information, credit facilities and education. Indonesia is experienced in implementing conditional cash transfers </w:t>
      </w:r>
      <w:r w:rsidR="00083DCF" w:rsidRPr="003859B6">
        <w:t xml:space="preserve">aimed </w:t>
      </w:r>
      <w:r w:rsidR="00F64944" w:rsidRPr="003859B6">
        <w:t>at increasing participation in health and education services (USAID, 2013).</w:t>
      </w:r>
    </w:p>
    <w:p w:rsidR="00153184" w:rsidRPr="003859B6" w:rsidRDefault="006563A2" w:rsidP="00153184">
      <w:pPr>
        <w:pStyle w:val="Heading3"/>
      </w:pPr>
      <w:bookmarkStart w:id="81" w:name="_Toc472954980"/>
      <w:bookmarkStart w:id="82" w:name="_Toc472936632"/>
      <w:bookmarkStart w:id="83" w:name="_Toc472354585"/>
      <w:bookmarkStart w:id="84" w:name="_Toc474487636"/>
      <w:r w:rsidRPr="003859B6">
        <w:t>S</w:t>
      </w:r>
      <w:r w:rsidR="00153184" w:rsidRPr="003859B6">
        <w:t>ustainable resource management</w:t>
      </w:r>
      <w:bookmarkEnd w:id="81"/>
      <w:r w:rsidR="00153184" w:rsidRPr="003859B6">
        <w:t xml:space="preserve"> </w:t>
      </w:r>
      <w:bookmarkEnd w:id="82"/>
      <w:bookmarkEnd w:id="83"/>
      <w:r w:rsidRPr="003859B6">
        <w:t>for stable income growth</w:t>
      </w:r>
      <w:bookmarkEnd w:id="84"/>
    </w:p>
    <w:p w:rsidR="00153184" w:rsidRPr="003859B6" w:rsidRDefault="00135100" w:rsidP="00153184">
      <w:pPr>
        <w:pStyle w:val="Num-DocParagraph"/>
        <w:rPr>
          <w:vertAlign w:val="superscript"/>
        </w:rPr>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74</w:instrText>
      </w:r>
      <w:r w:rsidRPr="003859B6">
        <w:fldChar w:fldCharType="end"/>
      </w:r>
      <w:r w:rsidRPr="003859B6">
        <w:instrText>.</w:instrText>
      </w:r>
      <w:r w:rsidRPr="003859B6">
        <w:tab/>
      </w:r>
      <w:r w:rsidRPr="003859B6">
        <w:fldChar w:fldCharType="end"/>
      </w:r>
      <w:r w:rsidRPr="003859B6">
        <w:t xml:space="preserve"> </w:t>
      </w:r>
      <w:r w:rsidR="001A4DAD" w:rsidRPr="003859B6">
        <w:t xml:space="preserve">While direct support is necessary in the short run to support the livelihoods of poor fishers and aqua-farmers, in the medium to long run, </w:t>
      </w:r>
      <w:r w:rsidR="00AA336B" w:rsidRPr="003859B6">
        <w:t xml:space="preserve">investing in the </w:t>
      </w:r>
      <w:r w:rsidR="001A4DAD" w:rsidRPr="003859B6">
        <w:t>s</w:t>
      </w:r>
      <w:r w:rsidR="00153184" w:rsidRPr="003859B6">
        <w:t xml:space="preserve">ustainable management of resources and the ecosystem </w:t>
      </w:r>
      <w:r w:rsidR="00AA336B" w:rsidRPr="003859B6">
        <w:t xml:space="preserve">would ensure more stable and </w:t>
      </w:r>
      <w:r w:rsidR="00153184" w:rsidRPr="003859B6">
        <w:t>increas</w:t>
      </w:r>
      <w:r w:rsidR="00AA336B" w:rsidRPr="003859B6">
        <w:t>ing</w:t>
      </w:r>
      <w:r w:rsidR="00153184" w:rsidRPr="003859B6">
        <w:t xml:space="preserve"> economic returns</w:t>
      </w:r>
      <w:r w:rsidR="00AA336B" w:rsidRPr="003859B6">
        <w:t xml:space="preserve"> to stakeholders </w:t>
      </w:r>
      <w:r w:rsidR="00AD24A2" w:rsidRPr="003859B6">
        <w:t>that depend</w:t>
      </w:r>
      <w:r w:rsidR="00AA336B" w:rsidRPr="003859B6">
        <w:t xml:space="preserve"> on those resources</w:t>
      </w:r>
      <w:r w:rsidR="00153184" w:rsidRPr="003859B6">
        <w:t xml:space="preserve">. </w:t>
      </w:r>
      <w:r w:rsidR="00542BF9" w:rsidRPr="003859B6">
        <w:t>Improving the health of fish stocks</w:t>
      </w:r>
      <w:r w:rsidR="00FD079C" w:rsidRPr="003859B6">
        <w:t xml:space="preserve"> is not only important for their survival</w:t>
      </w:r>
      <w:r w:rsidR="00C97B77" w:rsidRPr="003859B6">
        <w:t xml:space="preserve"> –</w:t>
      </w:r>
      <w:r w:rsidR="00FD079C" w:rsidRPr="003859B6">
        <w:t xml:space="preserve"> it also</w:t>
      </w:r>
      <w:r w:rsidR="001507E1" w:rsidRPr="003859B6">
        <w:t xml:space="preserve"> </w:t>
      </w:r>
      <w:r w:rsidR="00542BF9" w:rsidRPr="003859B6">
        <w:t>means that more fish can be caught and reduce</w:t>
      </w:r>
      <w:r w:rsidR="001507E1" w:rsidRPr="003859B6">
        <w:t>s</w:t>
      </w:r>
      <w:r w:rsidR="00542BF9" w:rsidRPr="003859B6">
        <w:t xml:space="preserve"> the cost </w:t>
      </w:r>
      <w:r w:rsidR="008B4DC9" w:rsidRPr="003859B6">
        <w:t>per catch.</w:t>
      </w:r>
      <w:r w:rsidR="00542BF9" w:rsidRPr="003859B6">
        <w:t xml:space="preserve"> The composition of the fish caught can also change, </w:t>
      </w:r>
      <w:r w:rsidR="00E71A95" w:rsidRPr="003859B6">
        <w:t xml:space="preserve">to contain </w:t>
      </w:r>
      <w:r w:rsidR="00542BF9" w:rsidRPr="003859B6">
        <w:t xml:space="preserve">more high-value fish, thereby increasing the average price of the catch. </w:t>
      </w:r>
      <w:r w:rsidR="00153184" w:rsidRPr="003859B6">
        <w:t>Research conducted jointly by the World Bank and the FAO (</w:t>
      </w:r>
      <w:proofErr w:type="spellStart"/>
      <w:r w:rsidR="009C247C" w:rsidRPr="003859B6">
        <w:t>Arnason</w:t>
      </w:r>
      <w:proofErr w:type="spellEnd"/>
      <w:r w:rsidR="00C97B77" w:rsidRPr="003859B6">
        <w:t>,</w:t>
      </w:r>
      <w:r w:rsidR="009C247C" w:rsidRPr="003859B6">
        <w:t xml:space="preserve"> 2009</w:t>
      </w:r>
      <w:r w:rsidR="00153184" w:rsidRPr="003859B6">
        <w:t xml:space="preserve">) </w:t>
      </w:r>
      <w:r w:rsidR="00F41EFA" w:rsidRPr="003859B6">
        <w:t>as well as Costello et al</w:t>
      </w:r>
      <w:r w:rsidR="00C97B77" w:rsidRPr="003859B6">
        <w:t>.</w:t>
      </w:r>
      <w:r w:rsidR="00F41EFA" w:rsidRPr="003859B6">
        <w:t xml:space="preserve"> (2016)</w:t>
      </w:r>
      <w:r w:rsidR="00153184" w:rsidRPr="003859B6" w:rsidDel="00C97B77">
        <w:t xml:space="preserve"> </w:t>
      </w:r>
      <w:r w:rsidR="00C97B77" w:rsidRPr="003859B6">
        <w:t xml:space="preserve">demonstrate </w:t>
      </w:r>
      <w:r w:rsidR="00153184" w:rsidRPr="003859B6">
        <w:t>the huge potential of good resource management to increase the produ</w:t>
      </w:r>
      <w:r w:rsidR="00542BF9" w:rsidRPr="003859B6">
        <w:t xml:space="preserve">ctivity of capture fisheries, with </w:t>
      </w:r>
      <w:r w:rsidR="00F41EFA" w:rsidRPr="003859B6">
        <w:t xml:space="preserve">tens of </w:t>
      </w:r>
      <w:r w:rsidR="00153184" w:rsidRPr="003859B6">
        <w:t xml:space="preserve">billions of USD </w:t>
      </w:r>
      <w:r w:rsidR="00542BF9" w:rsidRPr="003859B6">
        <w:t>to be gained annually worldwide.</w:t>
      </w:r>
      <w:r w:rsidR="00E96C33" w:rsidRPr="003859B6">
        <w:t xml:space="preserve"> Costello et al</w:t>
      </w:r>
      <w:r w:rsidR="00C97B77" w:rsidRPr="003859B6">
        <w:t>.</w:t>
      </w:r>
      <w:r w:rsidR="00E96C33" w:rsidRPr="003859B6">
        <w:t xml:space="preserve"> also show that the time horizons involved are not so long, with stock recovery targets </w:t>
      </w:r>
      <w:r w:rsidR="006E5DBD" w:rsidRPr="003859B6">
        <w:t xml:space="preserve">predicted </w:t>
      </w:r>
      <w:r w:rsidR="00E96C33" w:rsidRPr="003859B6">
        <w:t xml:space="preserve">to be reached within less than </w:t>
      </w:r>
      <w:r w:rsidR="00C97B77" w:rsidRPr="003859B6">
        <w:t xml:space="preserve">ten </w:t>
      </w:r>
      <w:r w:rsidR="00E96C33" w:rsidRPr="003859B6">
        <w:t xml:space="preserve">years in half of the fisheries considered </w:t>
      </w:r>
      <w:r w:rsidR="00C97B77" w:rsidRPr="003859B6">
        <w:t xml:space="preserve">by </w:t>
      </w:r>
      <w:r w:rsidR="00E96C33" w:rsidRPr="003859B6">
        <w:t>their model.</w:t>
      </w:r>
      <w:r w:rsidR="00542BF9" w:rsidRPr="003859B6">
        <w:t xml:space="preserve"> </w:t>
      </w:r>
      <w:r w:rsidR="00786021" w:rsidRPr="003859B6">
        <w:t xml:space="preserve">MMAF is currently working with Costello and his team to evaluate the gains associated with the elimination of IUU </w:t>
      </w:r>
      <w:r w:rsidR="009F0ADF" w:rsidRPr="003859B6">
        <w:t xml:space="preserve">fishing </w:t>
      </w:r>
      <w:r w:rsidR="00786021" w:rsidRPr="003859B6">
        <w:t>and better management of domestic fisheries</w:t>
      </w:r>
      <w:r w:rsidR="001507E1" w:rsidRPr="003859B6">
        <w:t xml:space="preserve"> in Indonesia, with the objective </w:t>
      </w:r>
      <w:r w:rsidR="00C97B77" w:rsidRPr="003859B6">
        <w:t xml:space="preserve">of </w:t>
      </w:r>
      <w:r w:rsidR="001507E1" w:rsidRPr="003859B6">
        <w:t>creat</w:t>
      </w:r>
      <w:r w:rsidR="00C97B77" w:rsidRPr="003859B6">
        <w:t>ing</w:t>
      </w:r>
      <w:r w:rsidR="001507E1" w:rsidRPr="003859B6">
        <w:t xml:space="preserve"> incentives for stakeholders and policy</w:t>
      </w:r>
      <w:r w:rsidR="00C97B77" w:rsidRPr="003859B6">
        <w:t xml:space="preserve"> </w:t>
      </w:r>
      <w:r w:rsidR="001507E1" w:rsidRPr="003859B6">
        <w:t>makers to fully engage in better management</w:t>
      </w:r>
      <w:r w:rsidR="00786021" w:rsidRPr="003859B6">
        <w:t>.</w:t>
      </w:r>
    </w:p>
    <w:p w:rsidR="00A5245B" w:rsidRPr="003859B6" w:rsidRDefault="001825FA" w:rsidP="00A5245B">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75</w:instrText>
      </w:r>
      <w:r w:rsidRPr="003859B6">
        <w:fldChar w:fldCharType="end"/>
      </w:r>
      <w:r w:rsidRPr="003859B6">
        <w:instrText>.</w:instrText>
      </w:r>
      <w:r w:rsidRPr="003859B6">
        <w:tab/>
      </w:r>
      <w:r w:rsidRPr="003859B6">
        <w:fldChar w:fldCharType="end"/>
      </w:r>
      <w:r w:rsidR="00A5245B" w:rsidRPr="003859B6">
        <w:t xml:space="preserve"> Setting total catch limits could have additional economic benefits, if associated with restrictions on access to resources or </w:t>
      </w:r>
      <w:r w:rsidR="00FD58C4" w:rsidRPr="003859B6">
        <w:t xml:space="preserve">the </w:t>
      </w:r>
      <w:r w:rsidR="00A5245B" w:rsidRPr="003859B6">
        <w:t xml:space="preserve">allocation of fishing rights aimed at reducing overcapacity, which could further increase the catch per unit of effort and thus the returns of fishing. Such restrictions are currently </w:t>
      </w:r>
      <w:r w:rsidR="00FD58C4" w:rsidRPr="003859B6">
        <w:t>in</w:t>
      </w:r>
      <w:r w:rsidR="00A5245B" w:rsidRPr="003859B6">
        <w:t>compatible with Indonesia</w:t>
      </w:r>
      <w:r w:rsidR="00FD58C4" w:rsidRPr="003859B6">
        <w:t>n</w:t>
      </w:r>
      <w:r w:rsidR="00A5245B" w:rsidRPr="003859B6">
        <w:t xml:space="preserve"> legislation. Article 33 (paragraph 3) of the Constitution specifies that land, water, air and natural resources are controlled by the </w:t>
      </w:r>
      <w:r w:rsidR="00A85D53" w:rsidRPr="003859B6">
        <w:t>State</w:t>
      </w:r>
      <w:r w:rsidR="00FD58C4" w:rsidRPr="003859B6">
        <w:t>,</w:t>
      </w:r>
      <w:r w:rsidR="00A5245B" w:rsidRPr="003859B6">
        <w:t xml:space="preserve"> and responsibility for these resources cannot be transferred to individuals. On the basis of this article, the provision of the Coastal Management and Small Islands Act (No. 27/2007)</w:t>
      </w:r>
      <w:r w:rsidR="00013507" w:rsidRPr="003859B6">
        <w:t>,</w:t>
      </w:r>
      <w:r w:rsidR="00A5245B" w:rsidRPr="003859B6">
        <w:t xml:space="preserve"> that would have permitted user rights </w:t>
      </w:r>
      <w:r w:rsidR="00A85D53" w:rsidRPr="003859B6">
        <w:t xml:space="preserve">up </w:t>
      </w:r>
      <w:r w:rsidR="00A5245B" w:rsidRPr="003859B6">
        <w:t xml:space="preserve">to 12 miles from shore, was rejected by the High Court (16 June 2011 Decree). However, an important step towards the legal possibility to restrict access to resources has been taken by the </w:t>
      </w:r>
      <w:r w:rsidR="00013507" w:rsidRPr="003859B6">
        <w:t xml:space="preserve">government </w:t>
      </w:r>
      <w:r w:rsidR="00A5245B" w:rsidRPr="003859B6">
        <w:t xml:space="preserve">with the preparation of a law or regulation that will allow the use of rights or privileges in fisheries </w:t>
      </w:r>
      <w:r w:rsidR="00013507" w:rsidRPr="003859B6">
        <w:t>once</w:t>
      </w:r>
      <w:r w:rsidR="00A5245B" w:rsidRPr="003859B6">
        <w:t xml:space="preserve"> approved by the Parliament.</w:t>
      </w:r>
    </w:p>
    <w:p w:rsidR="00A5245B" w:rsidRPr="003859B6" w:rsidRDefault="00A5245B" w:rsidP="0015318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76</w:instrText>
      </w:r>
      <w:r w:rsidRPr="003859B6">
        <w:fldChar w:fldCharType="end"/>
      </w:r>
      <w:r w:rsidRPr="003859B6">
        <w:instrText>.</w:instrText>
      </w:r>
      <w:r w:rsidRPr="003859B6">
        <w:tab/>
      </w:r>
      <w:r w:rsidRPr="003859B6">
        <w:fldChar w:fldCharType="end"/>
      </w:r>
      <w:r w:rsidR="006E5DBD" w:rsidRPr="003859B6">
        <w:t>S</w:t>
      </w:r>
      <w:r w:rsidRPr="003859B6">
        <w:t>etting up good governance processes to allocate fishing rights or deliver access to fisheries is</w:t>
      </w:r>
      <w:r w:rsidR="006E5DBD" w:rsidRPr="003859B6">
        <w:t xml:space="preserve"> </w:t>
      </w:r>
      <w:r w:rsidRPr="003859B6">
        <w:t xml:space="preserve">an important step to ensure that </w:t>
      </w:r>
      <w:r w:rsidR="006E5DBD" w:rsidRPr="003859B6">
        <w:t xml:space="preserve">any changes </w:t>
      </w:r>
      <w:r w:rsidRPr="003859B6">
        <w:t>are socially acceptable and durable. First, rights and access should be assigned as unambiguously as possible to avoid conflicts, bargaining and politici</w:t>
      </w:r>
      <w:r w:rsidR="006E5DBD" w:rsidRPr="003859B6">
        <w:t>s</w:t>
      </w:r>
      <w:r w:rsidRPr="003859B6">
        <w:t>ation. Additionally, transparent rules regarding the allocation of fishing rights or access to individuals, co</w:t>
      </w:r>
      <w:r w:rsidR="00013507" w:rsidRPr="003859B6">
        <w:t>-</w:t>
      </w:r>
      <w:r w:rsidRPr="003859B6">
        <w:t xml:space="preserve">operatives or communities ideally have to be discussed extensively ex-ante with these stakeholders, who also participate in the decision-making process on the basis of such rules. Community-based quota management should </w:t>
      </w:r>
      <w:r w:rsidR="00EE4177" w:rsidRPr="003859B6">
        <w:t xml:space="preserve">particularly </w:t>
      </w:r>
      <w:r w:rsidRPr="003859B6">
        <w:t>be considered for the management of fisheries that are operated exclusively by small-scale fishers in areas that are both geographically diffuse and difficult to access, making it impossible to regulate these fisheries through individual quotas or rights as management and surveillance costs would be excessive. Because it is often difficult to implement user privileges when fishers have traditionally fished freely, MMAF will also need to plan a public education campaign and public hearings to explain the benefits of rights-based management to secure widespread support and compliance (</w:t>
      </w:r>
      <w:proofErr w:type="spellStart"/>
      <w:r w:rsidRPr="003859B6">
        <w:t>Sutinen</w:t>
      </w:r>
      <w:proofErr w:type="spellEnd"/>
      <w:r w:rsidR="00FC04BD" w:rsidRPr="003859B6">
        <w:t>,</w:t>
      </w:r>
      <w:r w:rsidRPr="003859B6">
        <w:t xml:space="preserve"> 2013). </w:t>
      </w:r>
      <w:r w:rsidR="00EE4177" w:rsidRPr="003859B6">
        <w:t xml:space="preserve"> </w:t>
      </w:r>
    </w:p>
    <w:p w:rsidR="00153184" w:rsidRPr="003859B6" w:rsidRDefault="00A5245B" w:rsidP="0015318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77</w:instrText>
      </w:r>
      <w:r w:rsidRPr="003859B6">
        <w:fldChar w:fldCharType="end"/>
      </w:r>
      <w:r w:rsidRPr="003859B6">
        <w:instrText>.</w:instrText>
      </w:r>
      <w:r w:rsidRPr="003859B6">
        <w:tab/>
      </w:r>
      <w:r w:rsidRPr="003859B6">
        <w:fldChar w:fldCharType="end"/>
      </w:r>
      <w:r w:rsidR="00153184" w:rsidRPr="003859B6">
        <w:t xml:space="preserve">Better regulation of environmental externalities and </w:t>
      </w:r>
      <w:r w:rsidR="00EE4177" w:rsidRPr="003859B6">
        <w:t xml:space="preserve">the </w:t>
      </w:r>
      <w:r w:rsidR="00153184" w:rsidRPr="003859B6">
        <w:t xml:space="preserve">adoption of sustainable production practices also </w:t>
      </w:r>
      <w:r w:rsidR="00EE4177" w:rsidRPr="003859B6">
        <w:t xml:space="preserve">have </w:t>
      </w:r>
      <w:r w:rsidR="00153184" w:rsidRPr="003859B6">
        <w:t xml:space="preserve">the potential to increase </w:t>
      </w:r>
      <w:r w:rsidR="00EE4177" w:rsidRPr="003859B6">
        <w:t xml:space="preserve">the </w:t>
      </w:r>
      <w:r w:rsidR="00EA04F3" w:rsidRPr="003859B6">
        <w:t xml:space="preserve">economic </w:t>
      </w:r>
      <w:r w:rsidR="00153184" w:rsidRPr="003859B6">
        <w:t>returns</w:t>
      </w:r>
      <w:r w:rsidR="000A7753" w:rsidRPr="003859B6">
        <w:t xml:space="preserve"> </w:t>
      </w:r>
      <w:r w:rsidR="00EE4177" w:rsidRPr="003859B6">
        <w:t xml:space="preserve">of aqua-farms </w:t>
      </w:r>
      <w:r w:rsidR="000A7753" w:rsidRPr="003859B6">
        <w:t>in the medium to long term</w:t>
      </w:r>
      <w:r w:rsidR="00153184" w:rsidRPr="003859B6">
        <w:t xml:space="preserve">. Improved biosecurity measures in aquaculture reduce mortality while increasing the quality of products </w:t>
      </w:r>
      <w:r w:rsidR="006E5DBD" w:rsidRPr="003859B6">
        <w:t xml:space="preserve">delivered </w:t>
      </w:r>
      <w:r w:rsidR="00153184" w:rsidRPr="003859B6">
        <w:t>for export as well as reducing needs for drugs and hence production costs.</w:t>
      </w:r>
      <w:r w:rsidR="00EA04F3" w:rsidRPr="003859B6">
        <w:t xml:space="preserve"> Well-managed certification schemes can also create economic premiums on the final product that enhance the economic benefits </w:t>
      </w:r>
      <w:r w:rsidR="0063623C" w:rsidRPr="003859B6">
        <w:t xml:space="preserve">for </w:t>
      </w:r>
      <w:r w:rsidR="00EA04F3" w:rsidRPr="003859B6">
        <w:t>participating fisheries and farms.</w:t>
      </w:r>
    </w:p>
    <w:p w:rsidR="00C45CAA" w:rsidRPr="003859B6" w:rsidRDefault="00C52DC0" w:rsidP="00C45CAA">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78</w:instrText>
      </w:r>
      <w:r w:rsidRPr="003859B6">
        <w:fldChar w:fldCharType="end"/>
      </w:r>
      <w:r w:rsidRPr="003859B6">
        <w:instrText>.</w:instrText>
      </w:r>
      <w:r w:rsidRPr="003859B6">
        <w:tab/>
      </w:r>
      <w:r w:rsidRPr="003859B6">
        <w:fldChar w:fldCharType="end"/>
      </w:r>
      <w:r w:rsidR="007431BD" w:rsidRPr="003859B6">
        <w:t xml:space="preserve">Transitioning to </w:t>
      </w:r>
      <w:r w:rsidR="00C45CAA" w:rsidRPr="003859B6">
        <w:t>a rights-based fishing system</w:t>
      </w:r>
      <w:r w:rsidR="00AD24A2" w:rsidRPr="003859B6">
        <w:t xml:space="preserve"> –</w:t>
      </w:r>
      <w:r w:rsidR="00C45CAA" w:rsidRPr="003859B6">
        <w:t xml:space="preserve"> or to more sustainable aquaculture production modes</w:t>
      </w:r>
      <w:r w:rsidR="00AD24A2" w:rsidRPr="003859B6">
        <w:t xml:space="preserve"> – </w:t>
      </w:r>
      <w:r w:rsidR="00C45CAA" w:rsidRPr="003859B6">
        <w:t>will not be easy</w:t>
      </w:r>
      <w:r w:rsidR="00AD24A2" w:rsidRPr="003859B6">
        <w:t>,</w:t>
      </w:r>
      <w:r w:rsidR="007431BD" w:rsidRPr="003859B6">
        <w:t xml:space="preserve"> and requires flanking measures</w:t>
      </w:r>
      <w:r w:rsidR="00C45CAA" w:rsidRPr="003859B6">
        <w:t xml:space="preserve">. </w:t>
      </w:r>
      <w:r w:rsidR="00A5245B" w:rsidRPr="003859B6">
        <w:t>Transitional costs are to be expected</w:t>
      </w:r>
      <w:r w:rsidR="00EE66F7" w:rsidRPr="003859B6">
        <w:t>,</w:t>
      </w:r>
      <w:r w:rsidR="00A5245B" w:rsidRPr="003859B6">
        <w:t xml:space="preserve"> and </w:t>
      </w:r>
      <w:r w:rsidR="00AE359E" w:rsidRPr="003859B6">
        <w:t xml:space="preserve">the </w:t>
      </w:r>
      <w:r w:rsidR="00A5245B" w:rsidRPr="003859B6">
        <w:t xml:space="preserve">careful anticipation of impacts and design of adaptive strategies </w:t>
      </w:r>
      <w:r w:rsidR="00AE359E" w:rsidRPr="003859B6">
        <w:t xml:space="preserve">will be </w:t>
      </w:r>
      <w:r w:rsidR="00A5245B" w:rsidRPr="003859B6">
        <w:t>necessary to avoid income disruptions. The profitability of the aquaculture sector is for example currently affected by some of the new fishing management measures. Harvest restrictions on baby crabs and lobster have interrupted their cultivation</w:t>
      </w:r>
      <w:r w:rsidR="00A5245B" w:rsidRPr="003859B6">
        <w:rPr>
          <w:rStyle w:val="FootnoteReference"/>
        </w:rPr>
        <w:footnoteReference w:id="10"/>
      </w:r>
      <w:r w:rsidR="00A5245B" w:rsidRPr="003859B6">
        <w:t xml:space="preserve">, while the export of live </w:t>
      </w:r>
      <w:proofErr w:type="spellStart"/>
      <w:r w:rsidR="00A5245B" w:rsidRPr="003859B6">
        <w:t>mariculture</w:t>
      </w:r>
      <w:proofErr w:type="spellEnd"/>
      <w:r w:rsidR="00A5245B" w:rsidRPr="003859B6">
        <w:t xml:space="preserve"> products (notably grouper) has been complicated by the measures taken to counter IUU fishing</w:t>
      </w:r>
      <w:r w:rsidR="00450754" w:rsidRPr="003859B6">
        <w:t>,</w:t>
      </w:r>
      <w:r w:rsidR="00A5245B" w:rsidRPr="003859B6">
        <w:t xml:space="preserve"> as their transport was largely undertaken by ex-foreign vessels now prohibited from operating in Indonesian waters. Similarly, r</w:t>
      </w:r>
      <w:r w:rsidR="00C45CAA" w:rsidRPr="003859B6">
        <w:t xml:space="preserve">estrictions to access </w:t>
      </w:r>
      <w:r w:rsidR="00A5245B" w:rsidRPr="003859B6">
        <w:t xml:space="preserve">fishing </w:t>
      </w:r>
      <w:r w:rsidR="00C45CAA" w:rsidRPr="003859B6">
        <w:t xml:space="preserve">resources and tighter regulations inevitably create winners and losers and require stakeholders to </w:t>
      </w:r>
      <w:r w:rsidR="00450754" w:rsidRPr="003859B6">
        <w:t xml:space="preserve">trust </w:t>
      </w:r>
      <w:r w:rsidR="00C45CAA" w:rsidRPr="003859B6">
        <w:t xml:space="preserve">that new policies will lead to a better future </w:t>
      </w:r>
      <w:r w:rsidR="00450754" w:rsidRPr="003859B6">
        <w:t xml:space="preserve">that is </w:t>
      </w:r>
      <w:r w:rsidR="00C45CAA" w:rsidRPr="003859B6">
        <w:t xml:space="preserve">worth the transition costs – </w:t>
      </w:r>
      <w:r w:rsidR="00450754" w:rsidRPr="003859B6">
        <w:t xml:space="preserve">namely </w:t>
      </w:r>
      <w:r w:rsidR="00C45CAA" w:rsidRPr="003859B6">
        <w:t xml:space="preserve">reduced catches, in the short term, as well as potential exits of the sector. In countries such as Indonesia, where the fishing sector is an important source of livelihoods for the poor, focusing on finding the highest-value use of the resource is particularly difficult and desirable only to the extent that, in the short term, the human costs of the transition can be addressed </w:t>
      </w:r>
      <w:r w:rsidR="00805042" w:rsidRPr="003859B6">
        <w:t xml:space="preserve">by </w:t>
      </w:r>
      <w:r w:rsidR="00C45CAA" w:rsidRPr="003859B6">
        <w:t>complementary policies. Providing assistance with the costs and process of adjustment with so-called flanking measures can</w:t>
      </w:r>
      <w:r w:rsidR="00805042" w:rsidRPr="003859B6">
        <w:t>,</w:t>
      </w:r>
      <w:r w:rsidR="00C45CAA" w:rsidRPr="003859B6">
        <w:t xml:space="preserve"> </w:t>
      </w:r>
      <w:r w:rsidR="00805042" w:rsidRPr="003859B6">
        <w:t xml:space="preserve">however, </w:t>
      </w:r>
      <w:r w:rsidR="00C45CAA" w:rsidRPr="003859B6">
        <w:t xml:space="preserve">be effective, as can providing direct livelihood assistance to those who lose out from reform. </w:t>
      </w:r>
    </w:p>
    <w:p w:rsidR="00B02A67" w:rsidRPr="003859B6" w:rsidRDefault="007A5045" w:rsidP="00A32CA2">
      <w:pPr>
        <w:pStyle w:val="Heading3"/>
      </w:pPr>
      <w:bookmarkStart w:id="85" w:name="_Toc474487637"/>
      <w:bookmarkStart w:id="86" w:name="_Toc472354588"/>
      <w:bookmarkStart w:id="87" w:name="_Toc472936633"/>
      <w:bookmarkStart w:id="88" w:name="_Toc472954981"/>
      <w:r w:rsidRPr="003859B6">
        <w:t xml:space="preserve">Facilitating public support for </w:t>
      </w:r>
      <w:r w:rsidR="00051FA7" w:rsidRPr="003859B6">
        <w:t xml:space="preserve">infrastructure </w:t>
      </w:r>
      <w:r w:rsidR="002153E4" w:rsidRPr="003859B6">
        <w:t xml:space="preserve">and </w:t>
      </w:r>
      <w:r w:rsidR="00805042" w:rsidRPr="003859B6">
        <w:t>R&amp;D</w:t>
      </w:r>
      <w:bookmarkEnd w:id="85"/>
      <w:r w:rsidR="00051FA7" w:rsidRPr="003859B6">
        <w:t xml:space="preserve"> </w:t>
      </w:r>
      <w:bookmarkEnd w:id="86"/>
      <w:bookmarkEnd w:id="87"/>
      <w:bookmarkEnd w:id="88"/>
    </w:p>
    <w:p w:rsidR="00136929" w:rsidRPr="003859B6" w:rsidRDefault="00136929" w:rsidP="00A32CA2">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79</w:instrText>
      </w:r>
      <w:r w:rsidRPr="003859B6">
        <w:fldChar w:fldCharType="end"/>
      </w:r>
      <w:r w:rsidRPr="003859B6">
        <w:instrText>.</w:instrText>
      </w:r>
      <w:r w:rsidRPr="003859B6">
        <w:tab/>
      </w:r>
      <w:r w:rsidRPr="003859B6">
        <w:fldChar w:fldCharType="end"/>
      </w:r>
      <w:r w:rsidR="00A86486" w:rsidRPr="003859B6">
        <w:t xml:space="preserve"> Public support can </w:t>
      </w:r>
      <w:r w:rsidR="009472A8" w:rsidRPr="003859B6">
        <w:t xml:space="preserve">also </w:t>
      </w:r>
      <w:r w:rsidR="00A86486" w:rsidRPr="003859B6">
        <w:t>help the transition to greater economic returns by establishing an enabling environment that is conducive to sustainable productivity growth.</w:t>
      </w:r>
      <w:r w:rsidR="00273602" w:rsidRPr="003859B6">
        <w:t xml:space="preserve"> Two key aspects of such an enabling environment, directly under the responsibility of fisheries and aquaculture authorities</w:t>
      </w:r>
      <w:r w:rsidR="003A436E" w:rsidRPr="003859B6">
        <w:t>,</w:t>
      </w:r>
      <w:r w:rsidR="00273602" w:rsidRPr="003859B6">
        <w:t xml:space="preserve"> are </w:t>
      </w:r>
      <w:r w:rsidRPr="003859B6">
        <w:t xml:space="preserve">infrastructure </w:t>
      </w:r>
      <w:r w:rsidR="00273602" w:rsidRPr="003859B6">
        <w:t>and</w:t>
      </w:r>
      <w:r w:rsidRPr="003859B6">
        <w:t xml:space="preserve"> research and development (R&amp;D)</w:t>
      </w:r>
      <w:r w:rsidR="00273602" w:rsidRPr="003859B6">
        <w:t>.</w:t>
      </w:r>
      <w:r w:rsidR="00A86486" w:rsidRPr="003859B6">
        <w:t xml:space="preserve"> </w:t>
      </w:r>
    </w:p>
    <w:p w:rsidR="00136929" w:rsidRPr="003859B6" w:rsidRDefault="00136929" w:rsidP="00A32CA2">
      <w:pPr>
        <w:pStyle w:val="Num-DocParagraph"/>
        <w:rPr>
          <w:lang w:eastAsia="en-GB"/>
        </w:rPr>
      </w:pPr>
      <w:r w:rsidRPr="003859B6">
        <w:rPr>
          <w:lang w:eastAsia="en-GB"/>
        </w:rPr>
        <w:fldChar w:fldCharType="begin"/>
      </w:r>
      <w:r w:rsidRPr="003859B6">
        <w:rPr>
          <w:lang w:eastAsia="en-GB"/>
        </w:rPr>
        <w:instrText xml:space="preserve"> MACROBUTTON NUMBERING </w:instrText>
      </w:r>
      <w:r w:rsidRPr="003859B6">
        <w:rPr>
          <w:lang w:eastAsia="en-GB"/>
        </w:rPr>
        <w:fldChar w:fldCharType="begin"/>
      </w:r>
      <w:r w:rsidRPr="003859B6">
        <w:rPr>
          <w:lang w:eastAsia="en-GB"/>
        </w:rPr>
        <w:instrText xml:space="preserve"> SEQ  dpara</w:instrText>
      </w:r>
      <w:r w:rsidRPr="003859B6">
        <w:rPr>
          <w:lang w:eastAsia="en-GB"/>
        </w:rPr>
        <w:fldChar w:fldCharType="separate"/>
      </w:r>
      <w:r w:rsidR="003859B6">
        <w:rPr>
          <w:noProof/>
          <w:lang w:eastAsia="en-GB"/>
        </w:rPr>
        <w:instrText>80</w:instrText>
      </w:r>
      <w:r w:rsidRPr="003859B6">
        <w:rPr>
          <w:lang w:eastAsia="en-GB"/>
        </w:rPr>
        <w:fldChar w:fldCharType="end"/>
      </w:r>
      <w:r w:rsidRPr="003859B6">
        <w:rPr>
          <w:lang w:eastAsia="en-GB"/>
        </w:rPr>
        <w:instrText>.</w:instrText>
      </w:r>
      <w:r w:rsidRPr="003859B6">
        <w:rPr>
          <w:lang w:eastAsia="en-GB"/>
        </w:rPr>
        <w:tab/>
      </w:r>
      <w:r w:rsidRPr="003859B6">
        <w:rPr>
          <w:lang w:eastAsia="en-GB"/>
        </w:rPr>
        <w:fldChar w:fldCharType="end"/>
      </w:r>
      <w:r w:rsidRPr="003859B6">
        <w:rPr>
          <w:lang w:eastAsia="en-GB"/>
        </w:rPr>
        <w:t xml:space="preserve"> Efficient and well-developed transport, communication and energy provision infrastructure plays an important role in connecting fishers and aqua-farmers to market opportunities and knowledge, as well as specialised support services, thus reducing the cost of doing business and stimulating value creation (Waite et al., 2014). Transport infrastructure</w:t>
      </w:r>
      <w:r w:rsidR="000B2E4A" w:rsidRPr="003859B6">
        <w:rPr>
          <w:lang w:eastAsia="en-GB"/>
        </w:rPr>
        <w:t>,</w:t>
      </w:r>
      <w:r w:rsidRPr="003859B6">
        <w:rPr>
          <w:lang w:eastAsia="en-GB"/>
        </w:rPr>
        <w:t xml:space="preserve"> such as suitable roads, waterways, railways, ports, wharf and landing docks</w:t>
      </w:r>
      <w:r w:rsidR="000B2E4A" w:rsidRPr="003859B6">
        <w:rPr>
          <w:lang w:eastAsia="en-GB"/>
        </w:rPr>
        <w:t>;</w:t>
      </w:r>
      <w:r w:rsidR="00051FA7" w:rsidRPr="003859B6">
        <w:rPr>
          <w:lang w:eastAsia="en-GB"/>
        </w:rPr>
        <w:t xml:space="preserve"> and energy infrastructure</w:t>
      </w:r>
      <w:r w:rsidR="000B2E4A" w:rsidRPr="003859B6">
        <w:rPr>
          <w:lang w:eastAsia="en-GB"/>
        </w:rPr>
        <w:t>,</w:t>
      </w:r>
      <w:r w:rsidR="00051FA7" w:rsidRPr="003859B6">
        <w:rPr>
          <w:lang w:eastAsia="en-GB"/>
        </w:rPr>
        <w:t xml:space="preserve"> which is important for light and cold-chain storage</w:t>
      </w:r>
      <w:r w:rsidR="000B2E4A" w:rsidRPr="003859B6">
        <w:rPr>
          <w:lang w:eastAsia="en-GB"/>
        </w:rPr>
        <w:t>,</w:t>
      </w:r>
      <w:r w:rsidRPr="003859B6">
        <w:rPr>
          <w:lang w:eastAsia="en-GB"/>
        </w:rPr>
        <w:t xml:space="preserve"> </w:t>
      </w:r>
      <w:r w:rsidR="00051FA7" w:rsidRPr="003859B6">
        <w:rPr>
          <w:lang w:eastAsia="en-GB"/>
        </w:rPr>
        <w:t>are</w:t>
      </w:r>
      <w:r w:rsidRPr="003859B6">
        <w:rPr>
          <w:lang w:eastAsia="en-GB"/>
        </w:rPr>
        <w:t xml:space="preserve"> particularly critical given that fish is a perishable commodity and production centres may be </w:t>
      </w:r>
      <w:r w:rsidR="000B2E4A" w:rsidRPr="003859B6">
        <w:rPr>
          <w:lang w:eastAsia="en-GB"/>
        </w:rPr>
        <w:t xml:space="preserve">located </w:t>
      </w:r>
      <w:r w:rsidRPr="003859B6">
        <w:rPr>
          <w:lang w:eastAsia="en-GB"/>
        </w:rPr>
        <w:t>far from transport hubs for export as well as urban markets where the majority of seafood is consumed (75% of aquaculture production is still consumed domestically according to Indonesia Investments</w:t>
      </w:r>
      <w:r w:rsidR="000B2E4A" w:rsidRPr="003859B6">
        <w:rPr>
          <w:lang w:eastAsia="en-GB"/>
        </w:rPr>
        <w:t xml:space="preserve"> [</w:t>
      </w:r>
      <w:r w:rsidRPr="003859B6">
        <w:rPr>
          <w:lang w:eastAsia="en-GB"/>
        </w:rPr>
        <w:t>2014</w:t>
      </w:r>
      <w:r w:rsidR="000B2E4A" w:rsidRPr="003859B6">
        <w:rPr>
          <w:lang w:eastAsia="en-GB"/>
        </w:rPr>
        <w:t>]</w:t>
      </w:r>
      <w:r w:rsidRPr="003859B6">
        <w:rPr>
          <w:lang w:eastAsia="en-GB"/>
        </w:rPr>
        <w:t>). In addition, with a strategy focused on supporting artisanal fishing in national waters, leaving the industrial fleet to operate only in the high seas, a big challenge for the Indonesian government is to connect artisanal fishers with processors and distributors to substitute supply from industrial vessels with supply from artisanal fishers.</w:t>
      </w:r>
    </w:p>
    <w:p w:rsidR="00051FA7" w:rsidRPr="003859B6" w:rsidRDefault="00051FA7" w:rsidP="00051FA7">
      <w:pPr>
        <w:pStyle w:val="Num-DocParagraph"/>
      </w:pPr>
      <w:r w:rsidRPr="003859B6">
        <w:rPr>
          <w:lang w:eastAsia="en-GB"/>
        </w:rPr>
        <w:fldChar w:fldCharType="begin"/>
      </w:r>
      <w:r w:rsidRPr="003859B6">
        <w:rPr>
          <w:lang w:eastAsia="en-GB"/>
        </w:rPr>
        <w:instrText xml:space="preserve"> MACROBUTTON NUMBERING </w:instrText>
      </w:r>
      <w:r w:rsidRPr="003859B6">
        <w:rPr>
          <w:lang w:eastAsia="en-GB"/>
        </w:rPr>
        <w:fldChar w:fldCharType="begin"/>
      </w:r>
      <w:r w:rsidRPr="003859B6">
        <w:rPr>
          <w:lang w:eastAsia="en-GB"/>
        </w:rPr>
        <w:instrText xml:space="preserve"> SEQ  dpara</w:instrText>
      </w:r>
      <w:r w:rsidRPr="003859B6">
        <w:rPr>
          <w:lang w:eastAsia="en-GB"/>
        </w:rPr>
        <w:fldChar w:fldCharType="separate"/>
      </w:r>
      <w:r w:rsidR="003859B6">
        <w:rPr>
          <w:noProof/>
          <w:lang w:eastAsia="en-GB"/>
        </w:rPr>
        <w:instrText>81</w:instrText>
      </w:r>
      <w:r w:rsidRPr="003859B6">
        <w:rPr>
          <w:lang w:eastAsia="en-GB"/>
        </w:rPr>
        <w:fldChar w:fldCharType="end"/>
      </w:r>
      <w:r w:rsidRPr="003859B6">
        <w:rPr>
          <w:lang w:eastAsia="en-GB"/>
        </w:rPr>
        <w:instrText>.</w:instrText>
      </w:r>
      <w:r w:rsidRPr="003859B6">
        <w:rPr>
          <w:lang w:eastAsia="en-GB"/>
        </w:rPr>
        <w:tab/>
      </w:r>
      <w:r w:rsidRPr="003859B6">
        <w:rPr>
          <w:lang w:eastAsia="en-GB"/>
        </w:rPr>
        <w:fldChar w:fldCharType="end"/>
      </w:r>
      <w:r w:rsidRPr="003859B6">
        <w:rPr>
          <w:lang w:eastAsia="en-GB"/>
        </w:rPr>
        <w:t xml:space="preserve">OECD work on agricultural productivity shows that investments in R&amp;D, technology transfer and extension services can yield great returns (OECD, 2013). </w:t>
      </w:r>
      <w:r w:rsidRPr="003859B6">
        <w:rPr>
          <w:rFonts w:cs="Times"/>
          <w:szCs w:val="30"/>
        </w:rPr>
        <w:t xml:space="preserve">New techniques and innovations can spur growth through </w:t>
      </w:r>
      <w:r w:rsidR="00ED021D" w:rsidRPr="003859B6">
        <w:rPr>
          <w:rFonts w:cs="Times"/>
          <w:szCs w:val="30"/>
        </w:rPr>
        <w:t xml:space="preserve">improvements in </w:t>
      </w:r>
      <w:r w:rsidRPr="003859B6">
        <w:rPr>
          <w:rFonts w:cs="Times"/>
          <w:szCs w:val="30"/>
        </w:rPr>
        <w:t xml:space="preserve">quality and quantity, by reducing costs of production or by creating increased private and social benefits. Ideally, innovation can </w:t>
      </w:r>
      <w:r w:rsidR="000747BA" w:rsidRPr="003859B6">
        <w:rPr>
          <w:rFonts w:cs="Times"/>
          <w:szCs w:val="30"/>
        </w:rPr>
        <w:t>enable</w:t>
      </w:r>
      <w:r w:rsidRPr="003859B6">
        <w:rPr>
          <w:rFonts w:cs="Times"/>
          <w:szCs w:val="30"/>
        </w:rPr>
        <w:t xml:space="preserve"> more value </w:t>
      </w:r>
      <w:r w:rsidR="000747BA" w:rsidRPr="003859B6">
        <w:rPr>
          <w:rFonts w:cs="Times"/>
          <w:szCs w:val="30"/>
        </w:rPr>
        <w:t xml:space="preserve">to be derived from </w:t>
      </w:r>
      <w:r w:rsidRPr="003859B6">
        <w:rPr>
          <w:rFonts w:cs="Times"/>
          <w:szCs w:val="30"/>
        </w:rPr>
        <w:t xml:space="preserve">the same level of natural resources while reducing negative impacts on the environment. </w:t>
      </w:r>
      <w:r w:rsidRPr="003859B6">
        <w:t>Technological innovations have played an important role for growth in every aspect of aquaculture operations, particularly in the development of efficient feed, bio-secure seed and disease</w:t>
      </w:r>
      <w:r w:rsidR="000747BA" w:rsidRPr="003859B6">
        <w:t xml:space="preserve"> reduction</w:t>
      </w:r>
      <w:r w:rsidRPr="003859B6">
        <w:t>.</w:t>
      </w:r>
      <w:r w:rsidRPr="003859B6" w:rsidDel="00273602">
        <w:t xml:space="preserve"> </w:t>
      </w:r>
      <w:r w:rsidRPr="003859B6">
        <w:t xml:space="preserve">Innovations have also led to the creation of new high-value products </w:t>
      </w:r>
      <w:r w:rsidR="00FD6FF3" w:rsidRPr="003859B6">
        <w:t xml:space="preserve">from </w:t>
      </w:r>
      <w:r w:rsidRPr="003859B6">
        <w:t>capture fisheries</w:t>
      </w:r>
      <w:r w:rsidR="00FD6FF3" w:rsidRPr="003859B6">
        <w:t xml:space="preserve"> waste</w:t>
      </w:r>
      <w:r w:rsidRPr="003859B6">
        <w:t>, hence increasing the total value of fisheries production.</w:t>
      </w:r>
    </w:p>
    <w:p w:rsidR="00A86486" w:rsidRPr="003859B6" w:rsidRDefault="00136929" w:rsidP="00A32CA2">
      <w:pPr>
        <w:pStyle w:val="Num-DocParagraph"/>
      </w:pPr>
      <w:r w:rsidRPr="003859B6">
        <w:rPr>
          <w:lang w:eastAsia="en-GB"/>
        </w:rPr>
        <w:fldChar w:fldCharType="begin"/>
      </w:r>
      <w:r w:rsidRPr="003859B6">
        <w:rPr>
          <w:lang w:eastAsia="en-GB"/>
        </w:rPr>
        <w:instrText xml:space="preserve"> MACROBUTTON NUMBERING </w:instrText>
      </w:r>
      <w:r w:rsidRPr="003859B6">
        <w:rPr>
          <w:lang w:eastAsia="en-GB"/>
        </w:rPr>
        <w:fldChar w:fldCharType="begin"/>
      </w:r>
      <w:r w:rsidRPr="003859B6">
        <w:rPr>
          <w:lang w:eastAsia="en-GB"/>
        </w:rPr>
        <w:instrText xml:space="preserve"> SEQ  dpara</w:instrText>
      </w:r>
      <w:r w:rsidRPr="003859B6">
        <w:rPr>
          <w:lang w:eastAsia="en-GB"/>
        </w:rPr>
        <w:fldChar w:fldCharType="separate"/>
      </w:r>
      <w:r w:rsidR="003859B6">
        <w:rPr>
          <w:noProof/>
          <w:lang w:eastAsia="en-GB"/>
        </w:rPr>
        <w:instrText>82</w:instrText>
      </w:r>
      <w:r w:rsidRPr="003859B6">
        <w:rPr>
          <w:lang w:eastAsia="en-GB"/>
        </w:rPr>
        <w:fldChar w:fldCharType="end"/>
      </w:r>
      <w:r w:rsidRPr="003859B6">
        <w:rPr>
          <w:lang w:eastAsia="en-GB"/>
        </w:rPr>
        <w:instrText>.</w:instrText>
      </w:r>
      <w:r w:rsidRPr="003859B6">
        <w:rPr>
          <w:lang w:eastAsia="en-GB"/>
        </w:rPr>
        <w:tab/>
      </w:r>
      <w:r w:rsidRPr="003859B6">
        <w:rPr>
          <w:lang w:eastAsia="en-GB"/>
        </w:rPr>
        <w:fldChar w:fldCharType="end"/>
      </w:r>
      <w:r w:rsidR="00A31C1D" w:rsidRPr="003859B6">
        <w:rPr>
          <w:lang w:eastAsia="en-GB"/>
        </w:rPr>
        <w:t xml:space="preserve">By making domestic seafood production more profitable, investment in </w:t>
      </w:r>
      <w:r w:rsidR="00051FA7" w:rsidRPr="003859B6">
        <w:rPr>
          <w:lang w:eastAsia="en-GB"/>
        </w:rPr>
        <w:t>infrastructure</w:t>
      </w:r>
      <w:r w:rsidR="00051FA7" w:rsidRPr="003859B6" w:rsidDel="00AF6F2F">
        <w:rPr>
          <w:lang w:eastAsia="en-GB"/>
        </w:rPr>
        <w:t xml:space="preserve"> </w:t>
      </w:r>
      <w:r w:rsidR="00A31C1D" w:rsidRPr="003859B6">
        <w:rPr>
          <w:lang w:eastAsia="en-GB"/>
        </w:rPr>
        <w:t xml:space="preserve">and </w:t>
      </w:r>
      <w:r w:rsidR="00051FA7" w:rsidRPr="003859B6">
        <w:rPr>
          <w:lang w:eastAsia="en-GB"/>
        </w:rPr>
        <w:t xml:space="preserve">R&amp;D </w:t>
      </w:r>
      <w:r w:rsidR="00A31C1D" w:rsidRPr="003859B6">
        <w:rPr>
          <w:lang w:eastAsia="en-GB"/>
        </w:rPr>
        <w:t>also increases the competitiveness of domestic products compared to imports</w:t>
      </w:r>
      <w:r w:rsidR="000747BA" w:rsidRPr="003859B6">
        <w:rPr>
          <w:lang w:eastAsia="en-GB"/>
        </w:rPr>
        <w:t>,</w:t>
      </w:r>
      <w:r w:rsidR="00A31C1D" w:rsidRPr="003859B6">
        <w:rPr>
          <w:lang w:eastAsia="en-GB"/>
        </w:rPr>
        <w:t xml:space="preserve"> and promotes food self-sufficiency – a key objective of the </w:t>
      </w:r>
      <w:proofErr w:type="spellStart"/>
      <w:r w:rsidR="00A31C1D" w:rsidRPr="003859B6">
        <w:rPr>
          <w:lang w:eastAsia="en-GB"/>
        </w:rPr>
        <w:t>Jokowi</w:t>
      </w:r>
      <w:proofErr w:type="spellEnd"/>
      <w:r w:rsidR="00A31C1D" w:rsidRPr="003859B6">
        <w:rPr>
          <w:lang w:eastAsia="en-GB"/>
        </w:rPr>
        <w:t xml:space="preserve"> administration. However, </w:t>
      </w:r>
      <w:r w:rsidR="00ED021D" w:rsidRPr="003859B6">
        <w:rPr>
          <w:lang w:eastAsia="en-GB"/>
        </w:rPr>
        <w:t>unlike</w:t>
      </w:r>
      <w:r w:rsidR="00A31C1D" w:rsidRPr="003859B6">
        <w:rPr>
          <w:lang w:eastAsia="en-GB"/>
        </w:rPr>
        <w:t xml:space="preserve"> import restrictions, investment in </w:t>
      </w:r>
      <w:r w:rsidR="00051FA7" w:rsidRPr="003859B6">
        <w:rPr>
          <w:lang w:eastAsia="en-GB"/>
        </w:rPr>
        <w:t xml:space="preserve">infrastructure </w:t>
      </w:r>
      <w:r w:rsidR="00A31C1D" w:rsidRPr="003859B6">
        <w:rPr>
          <w:lang w:eastAsia="en-GB"/>
        </w:rPr>
        <w:t xml:space="preserve">and </w:t>
      </w:r>
      <w:r w:rsidR="00051FA7" w:rsidRPr="003859B6">
        <w:rPr>
          <w:lang w:eastAsia="en-GB"/>
        </w:rPr>
        <w:t xml:space="preserve">R&amp;D </w:t>
      </w:r>
      <w:r w:rsidR="00A31C1D" w:rsidRPr="003859B6">
        <w:rPr>
          <w:lang w:eastAsia="en-GB"/>
        </w:rPr>
        <w:t xml:space="preserve">also benefit net consumers of seafood with lower prices, hence </w:t>
      </w:r>
      <w:r w:rsidR="00ED021D" w:rsidRPr="003859B6">
        <w:rPr>
          <w:lang w:eastAsia="en-GB"/>
        </w:rPr>
        <w:t xml:space="preserve">also </w:t>
      </w:r>
      <w:r w:rsidR="00A31C1D" w:rsidRPr="003859B6">
        <w:rPr>
          <w:lang w:eastAsia="en-GB"/>
        </w:rPr>
        <w:t>improving food security.</w:t>
      </w:r>
      <w:r w:rsidR="00A86486" w:rsidRPr="003859B6">
        <w:t xml:space="preserve"> </w:t>
      </w:r>
    </w:p>
    <w:p w:rsidR="00051FA7" w:rsidRPr="003859B6" w:rsidRDefault="00A32E5D" w:rsidP="00051FA7">
      <w:pPr>
        <w:pStyle w:val="Heading4"/>
      </w:pPr>
      <w:r w:rsidRPr="003859B6">
        <w:t xml:space="preserve">Infrastructure to address </w:t>
      </w:r>
      <w:r w:rsidR="00051FA7" w:rsidRPr="003859B6">
        <w:t xml:space="preserve">high transport costs </w:t>
      </w:r>
    </w:p>
    <w:p w:rsidR="00051FA7" w:rsidRPr="003859B6" w:rsidRDefault="00051FA7" w:rsidP="00051FA7">
      <w:pPr>
        <w:pStyle w:val="Num-DocParagraph"/>
        <w:rPr>
          <w:lang w:eastAsia="en-GB"/>
        </w:rPr>
      </w:pPr>
      <w:r w:rsidRPr="003859B6">
        <w:rPr>
          <w:lang w:eastAsia="en-GB"/>
        </w:rPr>
        <w:fldChar w:fldCharType="begin"/>
      </w:r>
      <w:r w:rsidRPr="003859B6">
        <w:rPr>
          <w:lang w:eastAsia="en-GB"/>
        </w:rPr>
        <w:instrText xml:space="preserve"> MACROBUTTON NUMBERING </w:instrText>
      </w:r>
      <w:r w:rsidRPr="003859B6">
        <w:rPr>
          <w:lang w:eastAsia="en-GB"/>
        </w:rPr>
        <w:fldChar w:fldCharType="begin"/>
      </w:r>
      <w:r w:rsidRPr="003859B6">
        <w:rPr>
          <w:lang w:eastAsia="en-GB"/>
        </w:rPr>
        <w:instrText xml:space="preserve"> SEQ  dpara</w:instrText>
      </w:r>
      <w:r w:rsidRPr="003859B6">
        <w:rPr>
          <w:lang w:eastAsia="en-GB"/>
        </w:rPr>
        <w:fldChar w:fldCharType="separate"/>
      </w:r>
      <w:r w:rsidR="003859B6">
        <w:rPr>
          <w:noProof/>
          <w:lang w:eastAsia="en-GB"/>
        </w:rPr>
        <w:instrText>83</w:instrText>
      </w:r>
      <w:r w:rsidRPr="003859B6">
        <w:rPr>
          <w:lang w:eastAsia="en-GB"/>
        </w:rPr>
        <w:fldChar w:fldCharType="end"/>
      </w:r>
      <w:r w:rsidRPr="003859B6">
        <w:rPr>
          <w:lang w:eastAsia="en-GB"/>
        </w:rPr>
        <w:instrText>.</w:instrText>
      </w:r>
      <w:r w:rsidRPr="003859B6">
        <w:rPr>
          <w:lang w:eastAsia="en-GB"/>
        </w:rPr>
        <w:tab/>
      </w:r>
      <w:r w:rsidRPr="003859B6">
        <w:rPr>
          <w:lang w:eastAsia="en-GB"/>
        </w:rPr>
        <w:fldChar w:fldCharType="end"/>
      </w:r>
      <w:r w:rsidRPr="003859B6">
        <w:rPr>
          <w:lang w:eastAsia="en-GB"/>
        </w:rPr>
        <w:t>Transport infrastructure is particularly expensive</w:t>
      </w:r>
      <w:r w:rsidR="000E5B74" w:rsidRPr="003859B6">
        <w:rPr>
          <w:lang w:eastAsia="en-GB"/>
        </w:rPr>
        <w:t>,</w:t>
      </w:r>
      <w:r w:rsidRPr="003859B6">
        <w:rPr>
          <w:lang w:eastAsia="en-GB"/>
        </w:rPr>
        <w:t xml:space="preserve"> as Indonesia is made up of 6 000 inhabited islands </w:t>
      </w:r>
      <w:r w:rsidR="000E5B74" w:rsidRPr="003859B6">
        <w:rPr>
          <w:lang w:eastAsia="en-GB"/>
        </w:rPr>
        <w:t xml:space="preserve">spread </w:t>
      </w:r>
      <w:r w:rsidRPr="003859B6">
        <w:rPr>
          <w:lang w:eastAsia="en-GB"/>
        </w:rPr>
        <w:t xml:space="preserve">across 5 000 km from east to west, making it difficult to efficiently connect products and people to markets. High inter-island transport costs contribute to large inter-regional price differences. Shipping costs within Indonesia are found to be more expensive than the costs of importing from Singapore or China (Tabor, 2015). Shipping Law 17/2008, which introduced </w:t>
      </w:r>
      <w:proofErr w:type="spellStart"/>
      <w:r w:rsidRPr="003859B6">
        <w:rPr>
          <w:lang w:eastAsia="en-GB"/>
        </w:rPr>
        <w:t>cabotage</w:t>
      </w:r>
      <w:proofErr w:type="spellEnd"/>
      <w:r w:rsidRPr="003859B6">
        <w:rPr>
          <w:lang w:eastAsia="en-GB"/>
        </w:rPr>
        <w:t xml:space="preserve"> principles limit</w:t>
      </w:r>
      <w:r w:rsidR="00F7417A" w:rsidRPr="003859B6">
        <w:rPr>
          <w:lang w:eastAsia="en-GB"/>
        </w:rPr>
        <w:t>ing</w:t>
      </w:r>
      <w:r w:rsidRPr="003859B6">
        <w:rPr>
          <w:lang w:eastAsia="en-GB"/>
        </w:rPr>
        <w:t xml:space="preserve"> the movement of cargo between Indonesian ports to Indonesian-flagged vessels, added to inter-island transport costs.</w:t>
      </w:r>
    </w:p>
    <w:p w:rsidR="00051FA7" w:rsidRPr="003859B6" w:rsidRDefault="00051FA7" w:rsidP="00051FA7">
      <w:pPr>
        <w:pStyle w:val="Num-DocParagraph"/>
        <w:rPr>
          <w:lang w:eastAsia="en-GB"/>
        </w:rPr>
      </w:pPr>
      <w:r w:rsidRPr="003859B6">
        <w:rPr>
          <w:lang w:eastAsia="en-GB"/>
        </w:rPr>
        <w:fldChar w:fldCharType="begin"/>
      </w:r>
      <w:r w:rsidRPr="003859B6">
        <w:rPr>
          <w:lang w:eastAsia="en-GB"/>
        </w:rPr>
        <w:instrText xml:space="preserve"> MACROBUTTON NUMBERING </w:instrText>
      </w:r>
      <w:r w:rsidRPr="003859B6">
        <w:rPr>
          <w:lang w:eastAsia="en-GB"/>
        </w:rPr>
        <w:fldChar w:fldCharType="begin"/>
      </w:r>
      <w:r w:rsidRPr="003859B6">
        <w:rPr>
          <w:lang w:eastAsia="en-GB"/>
        </w:rPr>
        <w:instrText xml:space="preserve"> SEQ  dpara</w:instrText>
      </w:r>
      <w:r w:rsidRPr="003859B6">
        <w:rPr>
          <w:lang w:eastAsia="en-GB"/>
        </w:rPr>
        <w:fldChar w:fldCharType="separate"/>
      </w:r>
      <w:r w:rsidR="003859B6">
        <w:rPr>
          <w:noProof/>
          <w:lang w:eastAsia="en-GB"/>
        </w:rPr>
        <w:instrText>84</w:instrText>
      </w:r>
      <w:r w:rsidRPr="003859B6">
        <w:rPr>
          <w:lang w:eastAsia="en-GB"/>
        </w:rPr>
        <w:fldChar w:fldCharType="end"/>
      </w:r>
      <w:r w:rsidRPr="003859B6">
        <w:rPr>
          <w:lang w:eastAsia="en-GB"/>
        </w:rPr>
        <w:instrText>.</w:instrText>
      </w:r>
      <w:r w:rsidRPr="003859B6">
        <w:rPr>
          <w:lang w:eastAsia="en-GB"/>
        </w:rPr>
        <w:tab/>
      </w:r>
      <w:r w:rsidRPr="003859B6">
        <w:rPr>
          <w:lang w:eastAsia="en-GB"/>
        </w:rPr>
        <w:fldChar w:fldCharType="end"/>
      </w:r>
      <w:r w:rsidRPr="003859B6">
        <w:rPr>
          <w:lang w:eastAsia="en-GB"/>
        </w:rPr>
        <w:t>According to data published by the Indonesian Chamber of Commerce and Industry (Kadin Indonesia), around 17% of a company’s total expenditure in Indonesia is absorbed by logistics costs (Indonesia Investments</w:t>
      </w:r>
      <w:r w:rsidR="008E7475" w:rsidRPr="003859B6">
        <w:rPr>
          <w:lang w:eastAsia="en-GB"/>
        </w:rPr>
        <w:t>,</w:t>
      </w:r>
      <w:r w:rsidRPr="003859B6">
        <w:rPr>
          <w:lang w:eastAsia="en-GB"/>
        </w:rPr>
        <w:t xml:space="preserve"> 2016</w:t>
      </w:r>
      <w:r w:rsidR="008E7475" w:rsidRPr="003859B6">
        <w:rPr>
          <w:lang w:eastAsia="en-GB"/>
        </w:rPr>
        <w:t>a</w:t>
      </w:r>
      <w:r w:rsidRPr="003859B6">
        <w:rPr>
          <w:lang w:eastAsia="en-GB"/>
        </w:rPr>
        <w:t>). In peer regional economies</w:t>
      </w:r>
      <w:r w:rsidR="00F7417A" w:rsidRPr="003859B6">
        <w:rPr>
          <w:lang w:eastAsia="en-GB"/>
        </w:rPr>
        <w:t>,</w:t>
      </w:r>
      <w:r w:rsidRPr="003859B6">
        <w:rPr>
          <w:lang w:eastAsia="en-GB"/>
        </w:rPr>
        <w:t xml:space="preserve"> this number is much lower: 5% in Japan, 8% in Malaysia, 10% in Thailand and 12.5% in China. According to the World Economic Forum Global Competitiveness Index 2015, since 2013, every transport </w:t>
      </w:r>
      <w:r w:rsidR="00F7417A" w:rsidRPr="003859B6">
        <w:rPr>
          <w:lang w:eastAsia="en-GB"/>
        </w:rPr>
        <w:t xml:space="preserve">category has </w:t>
      </w:r>
      <w:r w:rsidRPr="003859B6">
        <w:rPr>
          <w:lang w:eastAsia="en-GB"/>
        </w:rPr>
        <w:t>receded in quality, indicating that Indonesia is not keeping up with the rest of the world in terms of transport development</w:t>
      </w:r>
      <w:r w:rsidR="006D2A7E" w:rsidRPr="003859B6">
        <w:rPr>
          <w:lang w:eastAsia="en-GB"/>
        </w:rPr>
        <w:t xml:space="preserve"> (World Economic Forum, 2015)</w:t>
      </w:r>
      <w:r w:rsidR="00F7417A" w:rsidRPr="003859B6">
        <w:rPr>
          <w:lang w:eastAsia="en-GB"/>
        </w:rPr>
        <w:t>. Q</w:t>
      </w:r>
      <w:r w:rsidRPr="003859B6">
        <w:rPr>
          <w:lang w:eastAsia="en-GB"/>
        </w:rPr>
        <w:t>uality of port infrastructure was the lowest</w:t>
      </w:r>
      <w:r w:rsidR="00F7417A" w:rsidRPr="003859B6">
        <w:rPr>
          <w:lang w:eastAsia="en-GB"/>
        </w:rPr>
        <w:t>-</w:t>
      </w:r>
      <w:r w:rsidRPr="003859B6">
        <w:rPr>
          <w:lang w:eastAsia="en-GB"/>
        </w:rPr>
        <w:t xml:space="preserve">rated category. Problems include a lack of equipment, low port efficiency and poor road access. </w:t>
      </w:r>
    </w:p>
    <w:p w:rsidR="00051FA7" w:rsidRPr="003859B6" w:rsidRDefault="00051FA7" w:rsidP="00051FA7">
      <w:pPr>
        <w:pStyle w:val="Num-DocParagraph"/>
      </w:pPr>
      <w:r w:rsidRPr="003859B6">
        <w:rPr>
          <w:lang w:eastAsia="en-GB"/>
        </w:rPr>
        <w:fldChar w:fldCharType="begin"/>
      </w:r>
      <w:r w:rsidRPr="003859B6">
        <w:rPr>
          <w:lang w:eastAsia="en-GB"/>
        </w:rPr>
        <w:instrText xml:space="preserve"> MACROBUTTON NUMBERING </w:instrText>
      </w:r>
      <w:r w:rsidRPr="003859B6">
        <w:rPr>
          <w:lang w:eastAsia="en-GB"/>
        </w:rPr>
        <w:fldChar w:fldCharType="begin"/>
      </w:r>
      <w:r w:rsidRPr="003859B6">
        <w:rPr>
          <w:lang w:eastAsia="en-GB"/>
        </w:rPr>
        <w:instrText xml:space="preserve"> SEQ  dpara</w:instrText>
      </w:r>
      <w:r w:rsidRPr="003859B6">
        <w:rPr>
          <w:lang w:eastAsia="en-GB"/>
        </w:rPr>
        <w:fldChar w:fldCharType="separate"/>
      </w:r>
      <w:r w:rsidR="003859B6">
        <w:rPr>
          <w:noProof/>
          <w:lang w:eastAsia="en-GB"/>
        </w:rPr>
        <w:instrText>85</w:instrText>
      </w:r>
      <w:r w:rsidRPr="003859B6">
        <w:rPr>
          <w:lang w:eastAsia="en-GB"/>
        </w:rPr>
        <w:fldChar w:fldCharType="end"/>
      </w:r>
      <w:r w:rsidRPr="003859B6">
        <w:rPr>
          <w:lang w:eastAsia="en-GB"/>
        </w:rPr>
        <w:instrText>.</w:instrText>
      </w:r>
      <w:r w:rsidRPr="003859B6">
        <w:rPr>
          <w:lang w:eastAsia="en-GB"/>
        </w:rPr>
        <w:tab/>
      </w:r>
      <w:r w:rsidRPr="003859B6">
        <w:rPr>
          <w:lang w:eastAsia="en-GB"/>
        </w:rPr>
        <w:fldChar w:fldCharType="end"/>
      </w:r>
      <w:r w:rsidRPr="003859B6">
        <w:rPr>
          <w:lang w:eastAsia="en-GB"/>
        </w:rPr>
        <w:t xml:space="preserve">Energy infrastructure also </w:t>
      </w:r>
      <w:r w:rsidR="003E3A9A" w:rsidRPr="003859B6">
        <w:rPr>
          <w:lang w:eastAsia="en-GB"/>
        </w:rPr>
        <w:t>requires</w:t>
      </w:r>
      <w:r w:rsidRPr="003859B6">
        <w:rPr>
          <w:lang w:eastAsia="en-GB"/>
        </w:rPr>
        <w:t xml:space="preserve"> </w:t>
      </w:r>
      <w:r w:rsidR="003E3A9A" w:rsidRPr="003859B6">
        <w:rPr>
          <w:lang w:eastAsia="en-GB"/>
        </w:rPr>
        <w:t xml:space="preserve">critical </w:t>
      </w:r>
      <w:r w:rsidRPr="003859B6">
        <w:rPr>
          <w:lang w:eastAsia="en-GB"/>
        </w:rPr>
        <w:t xml:space="preserve">improvement. </w:t>
      </w:r>
      <w:r w:rsidRPr="003859B6">
        <w:t>Energy services and consumption are oriented disproportionately toward Indonesia’s economic growth centres</w:t>
      </w:r>
      <w:r w:rsidR="003E3A9A" w:rsidRPr="003859B6">
        <w:t>,</w:t>
      </w:r>
      <w:r w:rsidRPr="003859B6">
        <w:t xml:space="preserve"> and large expanses of remote areas still lack access to basic energy services (Tabor, 2015). </w:t>
      </w:r>
      <w:r w:rsidRPr="003859B6">
        <w:rPr>
          <w:lang w:eastAsia="en-GB"/>
        </w:rPr>
        <w:t>In addition, demand is outstripping supply capacities in many parts of the national g</w:t>
      </w:r>
      <w:r w:rsidR="003E3A9A" w:rsidRPr="003859B6">
        <w:rPr>
          <w:lang w:eastAsia="en-GB"/>
        </w:rPr>
        <w:t>ri</w:t>
      </w:r>
      <w:r w:rsidRPr="003859B6">
        <w:rPr>
          <w:lang w:eastAsia="en-GB"/>
        </w:rPr>
        <w:t>d</w:t>
      </w:r>
      <w:r w:rsidR="003E3A9A" w:rsidRPr="003859B6">
        <w:rPr>
          <w:lang w:eastAsia="en-GB"/>
        </w:rPr>
        <w:t>,</w:t>
      </w:r>
      <w:r w:rsidRPr="003859B6">
        <w:rPr>
          <w:lang w:eastAsia="en-GB"/>
        </w:rPr>
        <w:t xml:space="preserve"> due to electricity theft, underinvestment and infrastructure needs related to transmission and distribution.</w:t>
      </w:r>
    </w:p>
    <w:p w:rsidR="00051FA7" w:rsidRPr="003859B6" w:rsidRDefault="00051FA7" w:rsidP="00051FA7">
      <w:pPr>
        <w:pStyle w:val="Num-DocParagraph"/>
        <w:rPr>
          <w:lang w:eastAsia="en-GB"/>
        </w:rPr>
      </w:pPr>
      <w:r w:rsidRPr="003859B6">
        <w:rPr>
          <w:lang w:eastAsia="en-GB"/>
        </w:rPr>
        <w:fldChar w:fldCharType="begin"/>
      </w:r>
      <w:r w:rsidRPr="003859B6">
        <w:rPr>
          <w:lang w:eastAsia="en-GB"/>
        </w:rPr>
        <w:instrText xml:space="preserve"> MACROBUTTON NUMBERING </w:instrText>
      </w:r>
      <w:r w:rsidRPr="003859B6">
        <w:rPr>
          <w:lang w:eastAsia="en-GB"/>
        </w:rPr>
        <w:fldChar w:fldCharType="begin"/>
      </w:r>
      <w:r w:rsidRPr="003859B6">
        <w:rPr>
          <w:lang w:eastAsia="en-GB"/>
        </w:rPr>
        <w:instrText xml:space="preserve"> SEQ  dpara</w:instrText>
      </w:r>
      <w:r w:rsidRPr="003859B6">
        <w:rPr>
          <w:lang w:eastAsia="en-GB"/>
        </w:rPr>
        <w:fldChar w:fldCharType="separate"/>
      </w:r>
      <w:r w:rsidR="003859B6">
        <w:rPr>
          <w:noProof/>
          <w:lang w:eastAsia="en-GB"/>
        </w:rPr>
        <w:instrText>86</w:instrText>
      </w:r>
      <w:r w:rsidRPr="003859B6">
        <w:rPr>
          <w:lang w:eastAsia="en-GB"/>
        </w:rPr>
        <w:fldChar w:fldCharType="end"/>
      </w:r>
      <w:r w:rsidRPr="003859B6">
        <w:rPr>
          <w:lang w:eastAsia="en-GB"/>
        </w:rPr>
        <w:instrText>.</w:instrText>
      </w:r>
      <w:r w:rsidRPr="003859B6">
        <w:rPr>
          <w:lang w:eastAsia="en-GB"/>
        </w:rPr>
        <w:tab/>
      </w:r>
      <w:r w:rsidRPr="003859B6">
        <w:rPr>
          <w:lang w:eastAsia="en-GB"/>
        </w:rPr>
        <w:fldChar w:fldCharType="end"/>
      </w:r>
      <w:r w:rsidRPr="003859B6">
        <w:rPr>
          <w:lang w:eastAsia="en-GB"/>
        </w:rPr>
        <w:t xml:space="preserve">The </w:t>
      </w:r>
      <w:r w:rsidR="003E3A9A" w:rsidRPr="003859B6">
        <w:rPr>
          <w:lang w:eastAsia="en-GB"/>
        </w:rPr>
        <w:t xml:space="preserve">government </w:t>
      </w:r>
      <w:r w:rsidRPr="003859B6">
        <w:rPr>
          <w:lang w:eastAsia="en-GB"/>
        </w:rPr>
        <w:t xml:space="preserve">is conscious of the need to prioritise infrastructure investments. President </w:t>
      </w:r>
      <w:proofErr w:type="spellStart"/>
      <w:r w:rsidRPr="003859B6">
        <w:rPr>
          <w:lang w:eastAsia="en-GB"/>
        </w:rPr>
        <w:t>Jokowi</w:t>
      </w:r>
      <w:proofErr w:type="spellEnd"/>
      <w:r w:rsidRPr="003859B6">
        <w:rPr>
          <w:lang w:eastAsia="en-GB"/>
        </w:rPr>
        <w:t xml:space="preserve"> announced that infrastructure spending will increase throughout his first term, peaking at around 7.7% of GDP in 2017 with the biggest investment in maritime infrastructure.</w:t>
      </w:r>
      <w:r w:rsidRPr="003859B6" w:rsidDel="00336272">
        <w:rPr>
          <w:lang w:eastAsia="en-GB"/>
        </w:rPr>
        <w:t xml:space="preserve"> </w:t>
      </w:r>
      <w:r w:rsidRPr="003859B6">
        <w:rPr>
          <w:lang w:eastAsia="en-GB"/>
        </w:rPr>
        <w:t xml:space="preserve">The government </w:t>
      </w:r>
      <w:r w:rsidR="00A16E26" w:rsidRPr="003859B6">
        <w:rPr>
          <w:lang w:eastAsia="en-GB"/>
        </w:rPr>
        <w:t xml:space="preserve">intends </w:t>
      </w:r>
      <w:r w:rsidRPr="003859B6">
        <w:rPr>
          <w:lang w:eastAsia="en-GB"/>
        </w:rPr>
        <w:t xml:space="preserve">to build 24 new sea ports and 15 new airports by 2019. </w:t>
      </w:r>
      <w:r w:rsidR="00A16E26" w:rsidRPr="003859B6">
        <w:rPr>
          <w:lang w:eastAsia="en-GB"/>
        </w:rPr>
        <w:t xml:space="preserve">By </w:t>
      </w:r>
      <w:r w:rsidRPr="003859B6">
        <w:rPr>
          <w:lang w:eastAsia="en-GB"/>
        </w:rPr>
        <w:t xml:space="preserve">2014, over USD 19.2 million </w:t>
      </w:r>
      <w:r w:rsidR="00A16E26" w:rsidRPr="003859B6">
        <w:rPr>
          <w:lang w:eastAsia="en-GB"/>
        </w:rPr>
        <w:t xml:space="preserve">had been </w:t>
      </w:r>
      <w:r w:rsidRPr="003859B6">
        <w:rPr>
          <w:lang w:eastAsia="en-GB"/>
        </w:rPr>
        <w:t xml:space="preserve">spent on the development of facilities at fishing ports as part of a </w:t>
      </w:r>
      <w:r w:rsidR="00A16E26" w:rsidRPr="003859B6">
        <w:rPr>
          <w:lang w:eastAsia="en-GB"/>
        </w:rPr>
        <w:t>three-</w:t>
      </w:r>
      <w:r w:rsidRPr="003859B6">
        <w:rPr>
          <w:lang w:eastAsia="en-GB"/>
        </w:rPr>
        <w:t>year development programme (2011-2014) (</w:t>
      </w:r>
      <w:r w:rsidR="00581CBF" w:rsidRPr="003859B6">
        <w:rPr>
          <w:lang w:eastAsia="en-GB"/>
        </w:rPr>
        <w:t xml:space="preserve">OECD, </w:t>
      </w:r>
      <w:r w:rsidR="00DC53AB" w:rsidRPr="003859B6">
        <w:rPr>
          <w:lang w:eastAsia="en-GB"/>
        </w:rPr>
        <w:t>2017</w:t>
      </w:r>
      <w:r w:rsidRPr="003859B6">
        <w:rPr>
          <w:lang w:eastAsia="en-GB"/>
        </w:rPr>
        <w:t xml:space="preserve">). The investment targets </w:t>
      </w:r>
      <w:r w:rsidR="00A16E26" w:rsidRPr="003859B6">
        <w:rPr>
          <w:lang w:eastAsia="en-GB"/>
        </w:rPr>
        <w:t xml:space="preserve">improvements to </w:t>
      </w:r>
      <w:r w:rsidRPr="003859B6">
        <w:rPr>
          <w:lang w:eastAsia="en-GB"/>
        </w:rPr>
        <w:t xml:space="preserve">clean water supply, </w:t>
      </w:r>
      <w:r w:rsidR="00A16E26" w:rsidRPr="003859B6">
        <w:rPr>
          <w:lang w:eastAsia="en-GB"/>
        </w:rPr>
        <w:t xml:space="preserve">the expansion of </w:t>
      </w:r>
      <w:r w:rsidRPr="003859B6">
        <w:rPr>
          <w:lang w:eastAsia="en-GB"/>
        </w:rPr>
        <w:t xml:space="preserve">landing areas and facilities, better transportation to and from the port, renewable energy sources and solar panels. In 2015, </w:t>
      </w:r>
      <w:r w:rsidR="00A16E26" w:rsidRPr="003859B6">
        <w:rPr>
          <w:lang w:eastAsia="en-GB"/>
        </w:rPr>
        <w:t xml:space="preserve">a further </w:t>
      </w:r>
      <w:r w:rsidRPr="003859B6">
        <w:rPr>
          <w:lang w:eastAsia="en-GB"/>
        </w:rPr>
        <w:t xml:space="preserve">USD 23.9 million </w:t>
      </w:r>
      <w:r w:rsidR="00A16E26" w:rsidRPr="003859B6">
        <w:rPr>
          <w:lang w:eastAsia="en-GB"/>
        </w:rPr>
        <w:t>was</w:t>
      </w:r>
      <w:r w:rsidRPr="003859B6">
        <w:rPr>
          <w:lang w:eastAsia="en-GB"/>
        </w:rPr>
        <w:t xml:space="preserve"> spent on developing fishing ports in Indonesia’s outermost regions</w:t>
      </w:r>
      <w:r w:rsidR="00A16E26" w:rsidRPr="003859B6">
        <w:rPr>
          <w:lang w:eastAsia="en-GB"/>
        </w:rPr>
        <w:t>,</w:t>
      </w:r>
      <w:r w:rsidRPr="003859B6">
        <w:rPr>
          <w:lang w:eastAsia="en-GB"/>
        </w:rPr>
        <w:t xml:space="preserve"> </w:t>
      </w:r>
      <w:r w:rsidRPr="003859B6">
        <w:t xml:space="preserve">while USD 666 000 was also spent on </w:t>
      </w:r>
      <w:r w:rsidR="00A16E26" w:rsidRPr="003859B6">
        <w:t xml:space="preserve">the installation of </w:t>
      </w:r>
      <w:r w:rsidRPr="003859B6">
        <w:t xml:space="preserve">solar cells in fishing ports </w:t>
      </w:r>
      <w:r w:rsidRPr="003859B6">
        <w:rPr>
          <w:lang w:eastAsia="en-GB"/>
        </w:rPr>
        <w:t>(</w:t>
      </w:r>
      <w:r w:rsidR="00091DEB" w:rsidRPr="003859B6">
        <w:rPr>
          <w:lang w:eastAsia="en-GB"/>
        </w:rPr>
        <w:t xml:space="preserve">OECD, </w:t>
      </w:r>
      <w:r w:rsidR="00DC53AB" w:rsidRPr="003859B6">
        <w:rPr>
          <w:lang w:eastAsia="en-GB"/>
        </w:rPr>
        <w:t>2017</w:t>
      </w:r>
      <w:r w:rsidR="00091DEB" w:rsidRPr="003859B6">
        <w:rPr>
          <w:lang w:eastAsia="en-GB"/>
        </w:rPr>
        <w:t>)</w:t>
      </w:r>
      <w:r w:rsidRPr="003859B6">
        <w:rPr>
          <w:lang w:eastAsia="en-GB"/>
        </w:rPr>
        <w:t>. Together, infrastructure projects accounted for 9</w:t>
      </w:r>
      <w:r w:rsidR="00A16E26" w:rsidRPr="003859B6">
        <w:rPr>
          <w:lang w:eastAsia="en-GB"/>
        </w:rPr>
        <w:t>-</w:t>
      </w:r>
      <w:r w:rsidRPr="003859B6">
        <w:rPr>
          <w:lang w:eastAsia="en-GB"/>
        </w:rPr>
        <w:t xml:space="preserve">10% of </w:t>
      </w:r>
      <w:r w:rsidR="00A16E26" w:rsidRPr="003859B6">
        <w:rPr>
          <w:lang w:eastAsia="en-GB"/>
        </w:rPr>
        <w:t xml:space="preserve">government </w:t>
      </w:r>
      <w:r w:rsidRPr="003859B6">
        <w:rPr>
          <w:lang w:eastAsia="en-GB"/>
        </w:rPr>
        <w:t xml:space="preserve">support in fisheries and aquaculture in 2014 and 2015 (Figure 8). Infrastructure needs can </w:t>
      </w:r>
      <w:r w:rsidR="00A16E26" w:rsidRPr="003859B6">
        <w:rPr>
          <w:lang w:eastAsia="en-GB"/>
        </w:rPr>
        <w:t xml:space="preserve">understandably </w:t>
      </w:r>
      <w:r w:rsidRPr="003859B6">
        <w:rPr>
          <w:lang w:eastAsia="en-GB"/>
        </w:rPr>
        <w:t xml:space="preserve">place a huge burden on government budgets and, in future, Indonesia may wish to consider </w:t>
      </w:r>
      <w:r w:rsidR="00A16E26" w:rsidRPr="003859B6">
        <w:rPr>
          <w:lang w:eastAsia="en-GB"/>
        </w:rPr>
        <w:t xml:space="preserve">private sector </w:t>
      </w:r>
      <w:r w:rsidRPr="003859B6">
        <w:rPr>
          <w:lang w:eastAsia="en-GB"/>
        </w:rPr>
        <w:t>participation through public-private partnerships (PPP).</w:t>
      </w:r>
    </w:p>
    <w:p w:rsidR="00B02A67" w:rsidRPr="003859B6" w:rsidRDefault="002357C2" w:rsidP="00A32CA2">
      <w:pPr>
        <w:pStyle w:val="Heading4"/>
      </w:pPr>
      <w:r w:rsidRPr="003859B6">
        <w:t>Encouraging</w:t>
      </w:r>
      <w:r w:rsidR="00B02A67" w:rsidRPr="003859B6">
        <w:t xml:space="preserve"> research and development </w:t>
      </w:r>
    </w:p>
    <w:p w:rsidR="0073176A" w:rsidRPr="003859B6" w:rsidRDefault="00273602" w:rsidP="00EB53DC">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87</w:instrText>
      </w:r>
      <w:r w:rsidRPr="003859B6">
        <w:fldChar w:fldCharType="end"/>
      </w:r>
      <w:r w:rsidRPr="003859B6">
        <w:instrText>.</w:instrText>
      </w:r>
      <w:r w:rsidRPr="003859B6">
        <w:tab/>
      </w:r>
      <w:r w:rsidRPr="003859B6">
        <w:fldChar w:fldCharType="end"/>
      </w:r>
      <w:r w:rsidR="00A16E26" w:rsidRPr="003859B6">
        <w:t>A</w:t>
      </w:r>
      <w:r w:rsidR="00B02A67" w:rsidRPr="003859B6">
        <w:rPr>
          <w:rFonts w:cs="Times"/>
          <w:szCs w:val="30"/>
        </w:rPr>
        <w:t xml:space="preserve">n important strategy for the Indonesian government </w:t>
      </w:r>
      <w:r w:rsidR="00A16E26" w:rsidRPr="003859B6">
        <w:rPr>
          <w:rFonts w:cs="Times"/>
          <w:szCs w:val="30"/>
        </w:rPr>
        <w:t xml:space="preserve">would be </w:t>
      </w:r>
      <w:r w:rsidR="004F2AAD" w:rsidRPr="003859B6">
        <w:rPr>
          <w:rFonts w:cs="Times"/>
          <w:szCs w:val="30"/>
        </w:rPr>
        <w:t>to create the conditions for</w:t>
      </w:r>
      <w:r w:rsidR="00B02A67" w:rsidRPr="003859B6">
        <w:rPr>
          <w:rFonts w:cs="Times"/>
          <w:szCs w:val="30"/>
        </w:rPr>
        <w:t xml:space="preserve"> the </w:t>
      </w:r>
      <w:r w:rsidR="00A16E26" w:rsidRPr="003859B6">
        <w:rPr>
          <w:rFonts w:cs="Times"/>
          <w:szCs w:val="30"/>
        </w:rPr>
        <w:t>R&amp;D</w:t>
      </w:r>
      <w:r w:rsidR="00B02A67" w:rsidRPr="003859B6">
        <w:rPr>
          <w:rFonts w:cs="Times"/>
          <w:szCs w:val="30"/>
        </w:rPr>
        <w:t xml:space="preserve"> that </w:t>
      </w:r>
      <w:r w:rsidR="00A16E26" w:rsidRPr="003859B6">
        <w:rPr>
          <w:rFonts w:cs="Times"/>
          <w:szCs w:val="30"/>
        </w:rPr>
        <w:t>enables</w:t>
      </w:r>
      <w:r w:rsidR="00B02A67" w:rsidRPr="003859B6">
        <w:rPr>
          <w:rFonts w:cs="Times"/>
          <w:szCs w:val="30"/>
        </w:rPr>
        <w:t xml:space="preserve"> innovation</w:t>
      </w:r>
      <w:r w:rsidR="004F2AAD" w:rsidRPr="003859B6">
        <w:rPr>
          <w:rFonts w:cs="Times"/>
          <w:szCs w:val="30"/>
        </w:rPr>
        <w:t xml:space="preserve"> to take place</w:t>
      </w:r>
      <w:r w:rsidR="00B02A67" w:rsidRPr="003859B6">
        <w:rPr>
          <w:rFonts w:cs="Times"/>
          <w:szCs w:val="30"/>
        </w:rPr>
        <w:t xml:space="preserve">. </w:t>
      </w:r>
      <w:r w:rsidR="00051FA7" w:rsidRPr="003859B6">
        <w:rPr>
          <w:rFonts w:cs="Times"/>
          <w:szCs w:val="30"/>
        </w:rPr>
        <w:t>In the OECD context, a</w:t>
      </w:r>
      <w:r w:rsidR="00C8186E" w:rsidRPr="003859B6">
        <w:t xml:space="preserve">n industry-wide approach to innovation activities </w:t>
      </w:r>
      <w:r w:rsidR="00A16E26" w:rsidRPr="003859B6">
        <w:t xml:space="preserve">– </w:t>
      </w:r>
      <w:r w:rsidR="00C8186E" w:rsidRPr="003859B6">
        <w:t>through industry organisations, producer organisations and specialised university laboratories</w:t>
      </w:r>
      <w:r w:rsidR="00A16E26" w:rsidRPr="003859B6">
        <w:t xml:space="preserve"> – </w:t>
      </w:r>
      <w:r w:rsidR="00C8186E" w:rsidRPr="003859B6">
        <w:t>has been found to be conducive to better research outco</w:t>
      </w:r>
      <w:r w:rsidR="00CC776E" w:rsidRPr="003859B6">
        <w:t xml:space="preserve">mes </w:t>
      </w:r>
      <w:r w:rsidR="00CC776E" w:rsidRPr="003859B6">
        <w:rPr>
          <w:lang w:eastAsia="en-GB"/>
        </w:rPr>
        <w:t>(OECD, 2013)</w:t>
      </w:r>
      <w:r w:rsidR="00C8186E" w:rsidRPr="003859B6">
        <w:t xml:space="preserve">. </w:t>
      </w:r>
      <w:r w:rsidR="004F2AAD" w:rsidRPr="003859B6">
        <w:t xml:space="preserve">Facilitating </w:t>
      </w:r>
      <w:r w:rsidR="00A16E26" w:rsidRPr="003859B6">
        <w:t>PPPs</w:t>
      </w:r>
      <w:r w:rsidR="004F2AAD" w:rsidRPr="003859B6">
        <w:t xml:space="preserve"> can </w:t>
      </w:r>
      <w:r w:rsidR="00C8186E" w:rsidRPr="003859B6">
        <w:t xml:space="preserve">also </w:t>
      </w:r>
      <w:r w:rsidR="00A16E26" w:rsidRPr="003859B6">
        <w:t>enable the development of</w:t>
      </w:r>
      <w:r w:rsidR="004F2AAD" w:rsidRPr="003859B6">
        <w:t xml:space="preserve"> innovations (Subasinghe et al., 2000). However, private </w:t>
      </w:r>
      <w:r w:rsidR="00A16E26" w:rsidRPr="003859B6">
        <w:t>sector investment tends to be orientated</w:t>
      </w:r>
      <w:r w:rsidR="004F2AAD" w:rsidRPr="003859B6">
        <w:t xml:space="preserve"> towards larger enterprises</w:t>
      </w:r>
      <w:r w:rsidR="00C8186E" w:rsidRPr="003859B6">
        <w:t xml:space="preserve"> </w:t>
      </w:r>
      <w:r w:rsidR="00CC776E" w:rsidRPr="003859B6">
        <w:rPr>
          <w:lang w:eastAsia="en-GB"/>
        </w:rPr>
        <w:t>(OECD, 2013)</w:t>
      </w:r>
      <w:r w:rsidR="004F2AAD" w:rsidRPr="003859B6">
        <w:t xml:space="preserve">. </w:t>
      </w:r>
      <w:r w:rsidR="00AF1634" w:rsidRPr="003859B6">
        <w:t>Finally, i</w:t>
      </w:r>
      <w:r w:rsidR="004F2AAD" w:rsidRPr="003859B6">
        <w:t>n Indonesia,</w:t>
      </w:r>
      <w:r w:rsidR="00B02A67" w:rsidRPr="003859B6">
        <w:rPr>
          <w:rFonts w:cs="Times"/>
          <w:szCs w:val="30"/>
        </w:rPr>
        <w:t xml:space="preserve"> </w:t>
      </w:r>
      <w:r w:rsidR="004F2AAD" w:rsidRPr="003859B6">
        <w:t>s</w:t>
      </w:r>
      <w:r w:rsidR="00B02A67" w:rsidRPr="003859B6">
        <w:t>mall</w:t>
      </w:r>
      <w:r w:rsidR="00AF1634" w:rsidRPr="003859B6">
        <w:t>-</w:t>
      </w:r>
      <w:r w:rsidR="00B02A67" w:rsidRPr="003859B6">
        <w:t xml:space="preserve">scale </w:t>
      </w:r>
      <w:r w:rsidR="00374B7C" w:rsidRPr="003859B6">
        <w:t>aqua-</w:t>
      </w:r>
      <w:r w:rsidR="00B02A67" w:rsidRPr="003859B6">
        <w:t>farmers and fishers form the majority of producers</w:t>
      </w:r>
      <w:r w:rsidR="0073176A" w:rsidRPr="003859B6">
        <w:t>. While</w:t>
      </w:r>
      <w:r w:rsidR="00B02A67" w:rsidRPr="003859B6">
        <w:t xml:space="preserve"> </w:t>
      </w:r>
      <w:r w:rsidR="0073176A" w:rsidRPr="003859B6">
        <w:t>small businesses can pioneer new systems, species, products and technologies, they often</w:t>
      </w:r>
      <w:r w:rsidR="00B02A67" w:rsidRPr="003859B6">
        <w:t xml:space="preserve"> lack resources to innovate on their own. </w:t>
      </w:r>
      <w:r w:rsidR="0073176A" w:rsidRPr="003859B6">
        <w:t>Public policy can thus be used to kick</w:t>
      </w:r>
      <w:r w:rsidR="00AF1634" w:rsidRPr="003859B6">
        <w:t>-</w:t>
      </w:r>
      <w:r w:rsidR="0073176A" w:rsidRPr="003859B6">
        <w:t xml:space="preserve">start the required </w:t>
      </w:r>
      <w:r w:rsidR="00AF1634" w:rsidRPr="003859B6">
        <w:t>R&amp;D</w:t>
      </w:r>
      <w:r w:rsidR="0073176A" w:rsidRPr="003859B6">
        <w:t xml:space="preserve">. </w:t>
      </w:r>
    </w:p>
    <w:p w:rsidR="00051FA7" w:rsidRPr="003859B6" w:rsidRDefault="00051FA7" w:rsidP="00EB53DC">
      <w:pPr>
        <w:pStyle w:val="Num-DocParagraph"/>
        <w:rPr>
          <w:lang w:eastAsia="en-GB"/>
        </w:rPr>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88</w:instrText>
      </w:r>
      <w:r w:rsidRPr="003859B6">
        <w:fldChar w:fldCharType="end"/>
      </w:r>
      <w:r w:rsidRPr="003859B6">
        <w:instrText>.</w:instrText>
      </w:r>
      <w:r w:rsidRPr="003859B6">
        <w:tab/>
      </w:r>
      <w:r w:rsidRPr="003859B6">
        <w:fldChar w:fldCharType="end"/>
      </w:r>
      <w:r w:rsidR="00AF1634" w:rsidRPr="003859B6">
        <w:t xml:space="preserve">Potential areas </w:t>
      </w:r>
      <w:r w:rsidR="00300AD2" w:rsidRPr="003859B6">
        <w:t>for innovation</w:t>
      </w:r>
      <w:r w:rsidR="00AF1634" w:rsidRPr="003859B6">
        <w:t xml:space="preserve"> investment</w:t>
      </w:r>
      <w:r w:rsidR="0073176A" w:rsidRPr="003859B6">
        <w:t xml:space="preserve"> </w:t>
      </w:r>
      <w:r w:rsidR="00296162" w:rsidRPr="003859B6">
        <w:t>include</w:t>
      </w:r>
      <w:r w:rsidR="00300AD2" w:rsidRPr="003859B6">
        <w:t xml:space="preserve"> </w:t>
      </w:r>
      <w:r w:rsidR="00AF1634" w:rsidRPr="003859B6">
        <w:t xml:space="preserve">research areas related to </w:t>
      </w:r>
      <w:r w:rsidR="0073176A" w:rsidRPr="003859B6">
        <w:t xml:space="preserve">on-farm </w:t>
      </w:r>
      <w:r w:rsidR="00AF1634" w:rsidRPr="003859B6">
        <w:t>activity,</w:t>
      </w:r>
      <w:r w:rsidR="0073176A" w:rsidRPr="003859B6">
        <w:t xml:space="preserve"> such as water quality management, better feed efficiency and innovative production systems; longer</w:t>
      </w:r>
      <w:r w:rsidR="00AF1634" w:rsidRPr="003859B6">
        <w:t>-</w:t>
      </w:r>
      <w:r w:rsidR="0073176A" w:rsidRPr="003859B6">
        <w:t>term research program</w:t>
      </w:r>
      <w:r w:rsidR="00AF1634" w:rsidRPr="003859B6">
        <w:t>me</w:t>
      </w:r>
      <w:r w:rsidR="0073176A" w:rsidRPr="003859B6">
        <w:t>s on the use of genetics</w:t>
      </w:r>
      <w:r w:rsidR="00AF1634" w:rsidRPr="003859B6">
        <w:t>,</w:t>
      </w:r>
      <w:r w:rsidR="0073176A" w:rsidRPr="003859B6">
        <w:t xml:space="preserve"> for example</w:t>
      </w:r>
      <w:r w:rsidR="00AF1634" w:rsidRPr="003859B6">
        <w:t xml:space="preserve">; </w:t>
      </w:r>
      <w:r w:rsidR="000D72E3" w:rsidRPr="003859B6">
        <w:t>and</w:t>
      </w:r>
      <w:r w:rsidR="0073176A" w:rsidRPr="003859B6">
        <w:t xml:space="preserve"> reliable data collection and analysis to better inform management decision-making.</w:t>
      </w:r>
      <w:r w:rsidR="00300AD2" w:rsidRPr="003859B6">
        <w:t xml:space="preserve"> </w:t>
      </w:r>
      <w:r w:rsidRPr="003859B6">
        <w:t xml:space="preserve">Developing a strategy for the diffusion of </w:t>
      </w:r>
      <w:r w:rsidR="000D72E3" w:rsidRPr="003859B6">
        <w:t xml:space="preserve">innovation </w:t>
      </w:r>
      <w:r w:rsidRPr="003859B6">
        <w:t xml:space="preserve">results can also bring broad benefits. </w:t>
      </w:r>
      <w:r w:rsidR="000D72E3" w:rsidRPr="003859B6">
        <w:rPr>
          <w:lang w:eastAsia="en-GB"/>
        </w:rPr>
        <w:t>In developing countries in particular, g</w:t>
      </w:r>
      <w:r w:rsidRPr="003859B6">
        <w:rPr>
          <w:lang w:eastAsia="en-GB"/>
        </w:rPr>
        <w:t xml:space="preserve">overnment investment </w:t>
      </w:r>
      <w:r w:rsidR="002B6A91" w:rsidRPr="003859B6">
        <w:rPr>
          <w:lang w:eastAsia="en-GB"/>
        </w:rPr>
        <w:t>is</w:t>
      </w:r>
      <w:r w:rsidR="000D72E3" w:rsidRPr="003859B6">
        <w:rPr>
          <w:lang w:eastAsia="en-GB"/>
        </w:rPr>
        <w:t xml:space="preserve"> </w:t>
      </w:r>
      <w:r w:rsidRPr="003859B6">
        <w:rPr>
          <w:lang w:eastAsia="en-GB"/>
        </w:rPr>
        <w:t>important to scale</w:t>
      </w:r>
      <w:r w:rsidR="002B6A91" w:rsidRPr="003859B6">
        <w:rPr>
          <w:lang w:eastAsia="en-GB"/>
        </w:rPr>
        <w:t xml:space="preserve"> </w:t>
      </w:r>
      <w:r w:rsidRPr="003859B6">
        <w:rPr>
          <w:lang w:eastAsia="en-GB"/>
        </w:rPr>
        <w:t>up good aquaculture and management practices so that they become industry norms (Ross et al</w:t>
      </w:r>
      <w:r w:rsidR="000D72E3" w:rsidRPr="003859B6">
        <w:rPr>
          <w:lang w:eastAsia="en-GB"/>
        </w:rPr>
        <w:t>.</w:t>
      </w:r>
      <w:r w:rsidRPr="003859B6">
        <w:rPr>
          <w:lang w:eastAsia="en-GB"/>
        </w:rPr>
        <w:t xml:space="preserve">, 2013). </w:t>
      </w:r>
      <w:r w:rsidRPr="003859B6">
        <w:t xml:space="preserve">Providing simple skills and technologies to small-scale aquaculture can </w:t>
      </w:r>
      <w:r w:rsidRPr="003859B6">
        <w:rPr>
          <w:lang w:eastAsia="en-GB"/>
        </w:rPr>
        <w:t xml:space="preserve">strengthen their innovative and learning capacities. </w:t>
      </w:r>
    </w:p>
    <w:p w:rsidR="00EB53DC" w:rsidRPr="003859B6" w:rsidRDefault="00051FA7" w:rsidP="00EB53DC">
      <w:pPr>
        <w:pStyle w:val="Num-DocParagraph"/>
        <w:rPr>
          <w:lang w:eastAsia="en-GB"/>
        </w:rPr>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89</w:instrText>
      </w:r>
      <w:r w:rsidRPr="003859B6">
        <w:fldChar w:fldCharType="end"/>
      </w:r>
      <w:r w:rsidRPr="003859B6">
        <w:instrText>.</w:instrText>
      </w:r>
      <w:r w:rsidRPr="003859B6">
        <w:tab/>
      </w:r>
      <w:r w:rsidRPr="003859B6">
        <w:fldChar w:fldCharType="end"/>
      </w:r>
      <w:r w:rsidRPr="003859B6">
        <w:rPr>
          <w:lang w:eastAsia="en-GB"/>
        </w:rPr>
        <w:t xml:space="preserve"> In Indonesia, spending on </w:t>
      </w:r>
      <w:r w:rsidR="002B6A91" w:rsidRPr="003859B6">
        <w:rPr>
          <w:lang w:eastAsia="en-GB"/>
        </w:rPr>
        <w:t>R&amp;D</w:t>
      </w:r>
      <w:r w:rsidRPr="003859B6">
        <w:rPr>
          <w:lang w:eastAsia="en-GB"/>
        </w:rPr>
        <w:t xml:space="preserve"> accounted for less than 2% of support to fisheries and less </w:t>
      </w:r>
      <w:r w:rsidR="002B6A91" w:rsidRPr="003859B6">
        <w:rPr>
          <w:lang w:eastAsia="en-GB"/>
        </w:rPr>
        <w:t xml:space="preserve">than </w:t>
      </w:r>
      <w:r w:rsidRPr="003859B6">
        <w:rPr>
          <w:lang w:eastAsia="en-GB"/>
        </w:rPr>
        <w:t xml:space="preserve">5% of support to aquaculture in 2014 and 2015, </w:t>
      </w:r>
      <w:r w:rsidR="002B6A91" w:rsidRPr="003859B6">
        <w:rPr>
          <w:lang w:eastAsia="en-GB"/>
        </w:rPr>
        <w:t>a</w:t>
      </w:r>
      <w:r w:rsidRPr="003859B6">
        <w:rPr>
          <w:lang w:eastAsia="en-GB"/>
        </w:rPr>
        <w:t xml:space="preserve"> relatively low </w:t>
      </w:r>
      <w:r w:rsidR="002B6A91" w:rsidRPr="003859B6">
        <w:rPr>
          <w:lang w:eastAsia="en-GB"/>
        </w:rPr>
        <w:t xml:space="preserve">figure </w:t>
      </w:r>
      <w:r w:rsidRPr="003859B6">
        <w:rPr>
          <w:lang w:eastAsia="en-GB"/>
        </w:rPr>
        <w:t xml:space="preserve">compared </w:t>
      </w:r>
      <w:r w:rsidR="002B6A91" w:rsidRPr="003859B6">
        <w:rPr>
          <w:lang w:eastAsia="en-GB"/>
        </w:rPr>
        <w:t xml:space="preserve">with </w:t>
      </w:r>
      <w:r w:rsidRPr="003859B6">
        <w:rPr>
          <w:lang w:eastAsia="en-GB"/>
        </w:rPr>
        <w:t>levels observed in many OECD countries (OECD, 2016</w:t>
      </w:r>
      <w:r w:rsidR="00C82E96" w:rsidRPr="003859B6">
        <w:rPr>
          <w:lang w:eastAsia="en-GB"/>
        </w:rPr>
        <w:t>a</w:t>
      </w:r>
      <w:r w:rsidRPr="003859B6">
        <w:rPr>
          <w:lang w:eastAsia="en-GB"/>
        </w:rPr>
        <w:t xml:space="preserve">). </w:t>
      </w:r>
      <w:r w:rsidR="00300AD2" w:rsidRPr="003859B6">
        <w:t>O</w:t>
      </w:r>
      <w:r w:rsidR="00B02A67" w:rsidRPr="003859B6">
        <w:rPr>
          <w:lang w:eastAsia="en-GB"/>
        </w:rPr>
        <w:t>ne key area</w:t>
      </w:r>
      <w:r w:rsidR="009125AB" w:rsidRPr="003859B6">
        <w:rPr>
          <w:lang w:eastAsia="en-GB"/>
        </w:rPr>
        <w:t xml:space="preserve"> </w:t>
      </w:r>
      <w:r w:rsidR="00C8186E" w:rsidRPr="003859B6">
        <w:rPr>
          <w:lang w:eastAsia="en-GB"/>
        </w:rPr>
        <w:t>identified</w:t>
      </w:r>
      <w:r w:rsidR="00300AD2" w:rsidRPr="003859B6">
        <w:rPr>
          <w:lang w:eastAsia="en-GB"/>
        </w:rPr>
        <w:t xml:space="preserve"> by the </w:t>
      </w:r>
      <w:r w:rsidR="002B6A91" w:rsidRPr="003859B6">
        <w:rPr>
          <w:lang w:eastAsia="en-GB"/>
        </w:rPr>
        <w:t xml:space="preserve">government </w:t>
      </w:r>
      <w:r w:rsidR="00B02A67" w:rsidRPr="003859B6">
        <w:rPr>
          <w:lang w:eastAsia="en-GB"/>
        </w:rPr>
        <w:t xml:space="preserve">is feed. As mentioned in </w:t>
      </w:r>
      <w:r w:rsidR="002B6A91" w:rsidRPr="003859B6">
        <w:rPr>
          <w:lang w:eastAsia="en-GB"/>
        </w:rPr>
        <w:t xml:space="preserve">Section </w:t>
      </w:r>
      <w:r w:rsidR="00B02A67" w:rsidRPr="003859B6">
        <w:rPr>
          <w:lang w:eastAsia="en-GB"/>
        </w:rPr>
        <w:t xml:space="preserve">3, fish feed </w:t>
      </w:r>
      <w:r w:rsidR="00300AD2" w:rsidRPr="003859B6">
        <w:rPr>
          <w:lang w:eastAsia="en-GB"/>
        </w:rPr>
        <w:t xml:space="preserve">accounts </w:t>
      </w:r>
      <w:r w:rsidR="004A03B5" w:rsidRPr="003859B6">
        <w:rPr>
          <w:lang w:eastAsia="en-GB"/>
        </w:rPr>
        <w:t xml:space="preserve">for </w:t>
      </w:r>
      <w:r w:rsidR="00B02A67" w:rsidRPr="003859B6">
        <w:rPr>
          <w:lang w:eastAsia="en-GB"/>
        </w:rPr>
        <w:t>the largest percentage of aquaculture operating costs</w:t>
      </w:r>
      <w:r w:rsidR="002B6A91" w:rsidRPr="003859B6">
        <w:rPr>
          <w:lang w:eastAsia="en-GB"/>
        </w:rPr>
        <w:t>,</w:t>
      </w:r>
      <w:r w:rsidR="00B02A67" w:rsidRPr="003859B6">
        <w:rPr>
          <w:lang w:eastAsia="en-GB"/>
        </w:rPr>
        <w:t xml:space="preserve"> and reducing these costs would contribute to improved productivity. </w:t>
      </w:r>
      <w:r w:rsidR="00300AD2" w:rsidRPr="003859B6">
        <w:rPr>
          <w:lang w:eastAsia="en-GB"/>
        </w:rPr>
        <w:t>Research program</w:t>
      </w:r>
      <w:r w:rsidR="002B6A91" w:rsidRPr="003859B6">
        <w:rPr>
          <w:lang w:eastAsia="en-GB"/>
        </w:rPr>
        <w:t>me</w:t>
      </w:r>
      <w:r w:rsidR="00300AD2" w:rsidRPr="003859B6">
        <w:rPr>
          <w:lang w:eastAsia="en-GB"/>
        </w:rPr>
        <w:t xml:space="preserve">s </w:t>
      </w:r>
      <w:r w:rsidR="00B27F63" w:rsidRPr="003859B6">
        <w:rPr>
          <w:lang w:eastAsia="en-GB"/>
        </w:rPr>
        <w:t>therefore</w:t>
      </w:r>
      <w:r w:rsidR="00300AD2" w:rsidRPr="003859B6">
        <w:rPr>
          <w:lang w:eastAsia="en-GB"/>
        </w:rPr>
        <w:t xml:space="preserve"> </w:t>
      </w:r>
      <w:r w:rsidR="00B27F63" w:rsidRPr="003859B6">
        <w:rPr>
          <w:lang w:eastAsia="en-GB"/>
        </w:rPr>
        <w:t xml:space="preserve">receive </w:t>
      </w:r>
      <w:r w:rsidR="00300AD2" w:rsidRPr="003859B6">
        <w:rPr>
          <w:lang w:eastAsia="en-GB"/>
        </w:rPr>
        <w:t xml:space="preserve">public </w:t>
      </w:r>
      <w:r w:rsidR="00B27F63" w:rsidRPr="003859B6">
        <w:rPr>
          <w:lang w:eastAsia="en-GB"/>
        </w:rPr>
        <w:t xml:space="preserve">funding </w:t>
      </w:r>
      <w:r w:rsidR="00300AD2" w:rsidRPr="003859B6">
        <w:rPr>
          <w:lang w:eastAsia="en-GB"/>
        </w:rPr>
        <w:t>to</w:t>
      </w:r>
      <w:r w:rsidR="00B02A67" w:rsidRPr="003859B6">
        <w:rPr>
          <w:lang w:eastAsia="en-GB"/>
        </w:rPr>
        <w:t xml:space="preserve"> </w:t>
      </w:r>
      <w:r w:rsidR="00B27F63" w:rsidRPr="003859B6">
        <w:rPr>
          <w:lang w:eastAsia="en-GB"/>
        </w:rPr>
        <w:t xml:space="preserve">conduct </w:t>
      </w:r>
      <w:r w:rsidR="00B02A67" w:rsidRPr="003859B6">
        <w:rPr>
          <w:lang w:eastAsia="en-GB"/>
        </w:rPr>
        <w:t>experiment</w:t>
      </w:r>
      <w:r w:rsidR="00B27F63" w:rsidRPr="003859B6">
        <w:rPr>
          <w:lang w:eastAsia="en-GB"/>
        </w:rPr>
        <w:t>s</w:t>
      </w:r>
      <w:r w:rsidR="00B02A67" w:rsidRPr="003859B6">
        <w:rPr>
          <w:lang w:eastAsia="en-GB"/>
        </w:rPr>
        <w:t xml:space="preserve"> with local ingredients and </w:t>
      </w:r>
      <w:r w:rsidR="00300AD2" w:rsidRPr="003859B6">
        <w:rPr>
          <w:lang w:eastAsia="en-GB"/>
        </w:rPr>
        <w:t>test</w:t>
      </w:r>
      <w:r w:rsidR="00B02A67" w:rsidRPr="003859B6">
        <w:rPr>
          <w:lang w:eastAsia="en-GB"/>
        </w:rPr>
        <w:t xml:space="preserve"> alternative protein sources such as seaweed and palm oi</w:t>
      </w:r>
      <w:r w:rsidR="00BC7BD7" w:rsidRPr="003859B6">
        <w:rPr>
          <w:lang w:eastAsia="en-GB"/>
        </w:rPr>
        <w:t>l</w:t>
      </w:r>
      <w:r w:rsidR="00B02A67" w:rsidRPr="003859B6">
        <w:rPr>
          <w:lang w:eastAsia="en-GB"/>
        </w:rPr>
        <w:t>.</w:t>
      </w:r>
      <w:r w:rsidR="004A03B5" w:rsidRPr="003859B6">
        <w:rPr>
          <w:lang w:eastAsia="en-GB"/>
        </w:rPr>
        <w:t xml:space="preserve"> </w:t>
      </w:r>
    </w:p>
    <w:p w:rsidR="004F2AAD" w:rsidRPr="003859B6" w:rsidRDefault="00EB53DC" w:rsidP="004F2AAD">
      <w:pPr>
        <w:pStyle w:val="Num-DocParagraph"/>
        <w:rPr>
          <w:lang w:eastAsia="en-GB"/>
        </w:rPr>
      </w:pPr>
      <w:r w:rsidRPr="003859B6">
        <w:rPr>
          <w:lang w:eastAsia="en-GB"/>
        </w:rPr>
        <w:fldChar w:fldCharType="begin"/>
      </w:r>
      <w:r w:rsidRPr="003859B6">
        <w:rPr>
          <w:lang w:eastAsia="en-GB"/>
        </w:rPr>
        <w:instrText xml:space="preserve"> MACROBUTTON NUMBERING </w:instrText>
      </w:r>
      <w:r w:rsidRPr="003859B6">
        <w:rPr>
          <w:lang w:eastAsia="en-GB"/>
        </w:rPr>
        <w:fldChar w:fldCharType="begin"/>
      </w:r>
      <w:r w:rsidRPr="003859B6">
        <w:rPr>
          <w:lang w:eastAsia="en-GB"/>
        </w:rPr>
        <w:instrText xml:space="preserve"> SEQ  dpara</w:instrText>
      </w:r>
      <w:r w:rsidRPr="003859B6">
        <w:rPr>
          <w:lang w:eastAsia="en-GB"/>
        </w:rPr>
        <w:fldChar w:fldCharType="separate"/>
      </w:r>
      <w:r w:rsidR="003859B6">
        <w:rPr>
          <w:noProof/>
          <w:lang w:eastAsia="en-GB"/>
        </w:rPr>
        <w:instrText>90</w:instrText>
      </w:r>
      <w:r w:rsidRPr="003859B6">
        <w:rPr>
          <w:lang w:eastAsia="en-GB"/>
        </w:rPr>
        <w:fldChar w:fldCharType="end"/>
      </w:r>
      <w:r w:rsidRPr="003859B6">
        <w:rPr>
          <w:lang w:eastAsia="en-GB"/>
        </w:rPr>
        <w:instrText>.</w:instrText>
      </w:r>
      <w:r w:rsidRPr="003859B6">
        <w:rPr>
          <w:lang w:eastAsia="en-GB"/>
        </w:rPr>
        <w:tab/>
      </w:r>
      <w:r w:rsidRPr="003859B6">
        <w:rPr>
          <w:lang w:eastAsia="en-GB"/>
        </w:rPr>
        <w:fldChar w:fldCharType="end"/>
      </w:r>
      <w:r w:rsidR="00051FA7" w:rsidRPr="003859B6">
        <w:rPr>
          <w:lang w:eastAsia="en-GB"/>
        </w:rPr>
        <w:t>However, i</w:t>
      </w:r>
      <w:r w:rsidR="004F2AAD" w:rsidRPr="003859B6">
        <w:rPr>
          <w:lang w:eastAsia="en-GB"/>
        </w:rPr>
        <w:t xml:space="preserve">nvestment in research will only boost productivity to the extent that it does not </w:t>
      </w:r>
      <w:r w:rsidR="009F48A4" w:rsidRPr="003859B6">
        <w:rPr>
          <w:lang w:eastAsia="en-GB"/>
        </w:rPr>
        <w:t xml:space="preserve">lead to the </w:t>
      </w:r>
      <w:r w:rsidR="004F2AAD" w:rsidRPr="003859B6">
        <w:rPr>
          <w:lang w:eastAsia="en-GB"/>
        </w:rPr>
        <w:t>substitut</w:t>
      </w:r>
      <w:r w:rsidR="009F48A4" w:rsidRPr="003859B6">
        <w:rPr>
          <w:lang w:eastAsia="en-GB"/>
        </w:rPr>
        <w:t xml:space="preserve">ion of </w:t>
      </w:r>
      <w:r w:rsidR="004F2AAD" w:rsidRPr="003859B6">
        <w:rPr>
          <w:lang w:eastAsia="en-GB"/>
        </w:rPr>
        <w:t xml:space="preserve">imports with domestically-produced goods that are </w:t>
      </w:r>
      <w:r w:rsidR="009F48A4" w:rsidRPr="003859B6">
        <w:rPr>
          <w:lang w:eastAsia="en-GB"/>
        </w:rPr>
        <w:t xml:space="preserve">only </w:t>
      </w:r>
      <w:r w:rsidR="004F2AAD" w:rsidRPr="003859B6">
        <w:rPr>
          <w:lang w:eastAsia="en-GB"/>
        </w:rPr>
        <w:t xml:space="preserve">competitive thanks to trade restrictions (USAID, 2013). Using research to develop products that can be more profitably sourced from other countries would </w:t>
      </w:r>
      <w:r w:rsidR="009F48A4" w:rsidRPr="003859B6">
        <w:rPr>
          <w:lang w:eastAsia="en-GB"/>
        </w:rPr>
        <w:t xml:space="preserve">effectively </w:t>
      </w:r>
      <w:r w:rsidR="004F2AAD" w:rsidRPr="003859B6">
        <w:rPr>
          <w:lang w:eastAsia="en-GB"/>
        </w:rPr>
        <w:t xml:space="preserve">mean </w:t>
      </w:r>
      <w:r w:rsidR="009F48A4" w:rsidRPr="003859B6">
        <w:rPr>
          <w:lang w:eastAsia="en-GB"/>
        </w:rPr>
        <w:t xml:space="preserve">that </w:t>
      </w:r>
      <w:r w:rsidR="004F2AAD" w:rsidRPr="003859B6">
        <w:rPr>
          <w:lang w:eastAsia="en-GB"/>
        </w:rPr>
        <w:t xml:space="preserve">public funds are used to create rents for input producers at the expense of </w:t>
      </w:r>
      <w:r w:rsidR="009F48A4" w:rsidRPr="003859B6">
        <w:rPr>
          <w:lang w:eastAsia="en-GB"/>
        </w:rPr>
        <w:t xml:space="preserve">both </w:t>
      </w:r>
      <w:r w:rsidR="004F2AAD" w:rsidRPr="003859B6">
        <w:rPr>
          <w:lang w:eastAsia="en-GB"/>
        </w:rPr>
        <w:t xml:space="preserve">seafood producers and consumers.  </w:t>
      </w:r>
      <w:r w:rsidR="009F48A4" w:rsidRPr="003859B6">
        <w:rPr>
          <w:lang w:eastAsia="en-GB"/>
        </w:rPr>
        <w:t xml:space="preserve"> </w:t>
      </w:r>
    </w:p>
    <w:p w:rsidR="00FD11BC" w:rsidRPr="003859B6" w:rsidRDefault="003F4521" w:rsidP="00FD11BC">
      <w:pPr>
        <w:pStyle w:val="Heading3"/>
      </w:pPr>
      <w:bookmarkStart w:id="89" w:name="_Toc472354589"/>
      <w:bookmarkStart w:id="90" w:name="_Toc472936634"/>
      <w:bookmarkStart w:id="91" w:name="_Toc472954982"/>
      <w:bookmarkStart w:id="92" w:name="_Toc474487638"/>
      <w:bookmarkStart w:id="93" w:name="_Toc472354590"/>
      <w:r w:rsidRPr="003859B6">
        <w:t>T</w:t>
      </w:r>
      <w:r w:rsidR="00A76637" w:rsidRPr="003859B6">
        <w:t>r</w:t>
      </w:r>
      <w:r w:rsidRPr="003859B6">
        <w:t xml:space="preserve">ade and foreign investment restrictions: </w:t>
      </w:r>
      <w:bookmarkEnd w:id="89"/>
      <w:r w:rsidR="00A32E5D" w:rsidRPr="003859B6">
        <w:t>S</w:t>
      </w:r>
      <w:r w:rsidRPr="003859B6">
        <w:t>upport at the cost of higher prices for consumers</w:t>
      </w:r>
      <w:bookmarkEnd w:id="90"/>
      <w:bookmarkEnd w:id="91"/>
      <w:bookmarkEnd w:id="92"/>
      <w:r w:rsidRPr="003859B6">
        <w:t xml:space="preserve"> </w:t>
      </w:r>
      <w:bookmarkEnd w:id="93"/>
    </w:p>
    <w:p w:rsidR="00FD11BC" w:rsidRPr="003859B6" w:rsidRDefault="00FD11BC" w:rsidP="00593A69">
      <w:pPr>
        <w:pStyle w:val="Num-DocParagraph"/>
        <w:rPr>
          <w:rStyle w:val="normaltextrun"/>
        </w:rPr>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91</w:instrText>
      </w:r>
      <w:r w:rsidRPr="003859B6">
        <w:fldChar w:fldCharType="end"/>
      </w:r>
      <w:r w:rsidRPr="003859B6">
        <w:instrText>.</w:instrText>
      </w:r>
      <w:r w:rsidRPr="003859B6">
        <w:tab/>
      </w:r>
      <w:r w:rsidRPr="003859B6">
        <w:fldChar w:fldCharType="end"/>
      </w:r>
      <w:r w:rsidRPr="003859B6">
        <w:t xml:space="preserve"> Countries of Southeast Asia often use trade restrictions to increase the demand for domestically</w:t>
      </w:r>
      <w:r w:rsidR="00A10DD4" w:rsidRPr="003859B6">
        <w:t>-</w:t>
      </w:r>
      <w:r w:rsidRPr="003859B6">
        <w:t xml:space="preserve">produced food products with the dual objective of increasing producer incomes and becoming more self-sufficient in food production (OECD, </w:t>
      </w:r>
      <w:r w:rsidR="00C82E96" w:rsidRPr="003859B6">
        <w:t>2016</w:t>
      </w:r>
      <w:r w:rsidR="00DC53AB" w:rsidRPr="003859B6">
        <w:t>b</w:t>
      </w:r>
      <w:r w:rsidRPr="003859B6">
        <w:t xml:space="preserve">). </w:t>
      </w:r>
      <w:r w:rsidR="00A10DD4" w:rsidRPr="003859B6">
        <w:t>To this end</w:t>
      </w:r>
      <w:r w:rsidR="00593A69" w:rsidRPr="003859B6">
        <w:rPr>
          <w:rStyle w:val="normaltextrun"/>
        </w:rPr>
        <w:t>, the Indonesian Food Law of October 2012 expanded the ways and means by which the government might influence domestic food markets</w:t>
      </w:r>
      <w:r w:rsidR="00A10DD4" w:rsidRPr="003859B6">
        <w:rPr>
          <w:rStyle w:val="normaltextrun"/>
        </w:rPr>
        <w:t>,</w:t>
      </w:r>
      <w:r w:rsidR="00593A69" w:rsidRPr="003859B6">
        <w:rPr>
          <w:rStyle w:val="normaltextrun"/>
        </w:rPr>
        <w:t xml:space="preserve"> and extended coverage beyond rice. </w:t>
      </w:r>
      <w:r w:rsidR="00711929" w:rsidRPr="003859B6">
        <w:t>Applied</w:t>
      </w:r>
      <w:r w:rsidRPr="003859B6">
        <w:t xml:space="preserve"> tariff rates </w:t>
      </w:r>
      <w:r w:rsidR="00593A69" w:rsidRPr="003859B6">
        <w:t xml:space="preserve">for seafood products </w:t>
      </w:r>
      <w:r w:rsidR="0083310F" w:rsidRPr="003859B6">
        <w:t>range between 0 and 10</w:t>
      </w:r>
      <w:r w:rsidRPr="003859B6">
        <w:t>%</w:t>
      </w:r>
      <w:r w:rsidR="00A10DD4" w:rsidRPr="003859B6">
        <w:t>,</w:t>
      </w:r>
      <w:r w:rsidR="00C86DCF" w:rsidRPr="003859B6">
        <w:t xml:space="preserve"> </w:t>
      </w:r>
      <w:r w:rsidR="00A76637" w:rsidRPr="003859B6">
        <w:t xml:space="preserve">but </w:t>
      </w:r>
      <w:r w:rsidR="00C86DCF" w:rsidRPr="003859B6">
        <w:t>bound tariffs average 40%</w:t>
      </w:r>
      <w:r w:rsidRPr="003859B6">
        <w:t>.</w:t>
      </w:r>
      <w:r w:rsidR="00AF0B2C" w:rsidRPr="003859B6">
        <w:t xml:space="preserve"> </w:t>
      </w:r>
      <w:r w:rsidR="00AF0B2C" w:rsidRPr="003859B6">
        <w:rPr>
          <w:rStyle w:val="normaltextrun"/>
        </w:rPr>
        <w:t>Indonesia also restricts</w:t>
      </w:r>
      <w:r w:rsidR="00AF0B2C" w:rsidRPr="003859B6">
        <w:rPr>
          <w:rStyle w:val="normaltextrun"/>
          <w:lang w:val="id-ID"/>
        </w:rPr>
        <w:t xml:space="preserve"> </w:t>
      </w:r>
      <w:r w:rsidR="00AF0B2C" w:rsidRPr="003859B6">
        <w:rPr>
          <w:rStyle w:val="normaltextrun"/>
        </w:rPr>
        <w:t>imports of most seafood species on the basis of quality control and</w:t>
      </w:r>
      <w:r w:rsidR="00AF0B2C" w:rsidRPr="003859B6">
        <w:rPr>
          <w:rStyle w:val="normaltextrun"/>
          <w:lang w:val="id-ID"/>
        </w:rPr>
        <w:t xml:space="preserve"> food safety </w:t>
      </w:r>
      <w:r w:rsidR="00AF0B2C" w:rsidRPr="003859B6">
        <w:rPr>
          <w:rStyle w:val="normaltextrun"/>
          <w:lang w:val="en-US"/>
        </w:rPr>
        <w:t xml:space="preserve">reasons </w:t>
      </w:r>
      <w:r w:rsidR="00AF0B2C" w:rsidRPr="003859B6">
        <w:rPr>
          <w:rStyle w:val="normaltextrun"/>
          <w:lang w:val="id-ID"/>
        </w:rPr>
        <w:t xml:space="preserve">according to </w:t>
      </w:r>
      <w:r w:rsidR="00AF0B2C" w:rsidRPr="003859B6">
        <w:rPr>
          <w:rStyle w:val="normaltextrun"/>
        </w:rPr>
        <w:t>R</w:t>
      </w:r>
      <w:r w:rsidR="00AF0B2C" w:rsidRPr="003859B6">
        <w:rPr>
          <w:rStyle w:val="normaltextrun"/>
          <w:lang w:val="id-ID"/>
        </w:rPr>
        <w:t>egulation 46</w:t>
      </w:r>
      <w:r w:rsidR="00AF0B2C" w:rsidRPr="003859B6">
        <w:rPr>
          <w:rStyle w:val="normaltextrun"/>
        </w:rPr>
        <w:t>/</w:t>
      </w:r>
      <w:r w:rsidR="00AF0B2C" w:rsidRPr="003859B6">
        <w:rPr>
          <w:rStyle w:val="normaltextrun"/>
          <w:lang w:val="id-ID"/>
        </w:rPr>
        <w:t xml:space="preserve">2014. </w:t>
      </w:r>
      <w:r w:rsidRPr="003859B6">
        <w:t xml:space="preserve"> </w:t>
      </w:r>
      <w:r w:rsidR="00593A69" w:rsidRPr="003859B6">
        <w:rPr>
          <w:rStyle w:val="normaltextrun"/>
        </w:rPr>
        <w:t xml:space="preserve">As a result, imports remain very limited, and have </w:t>
      </w:r>
      <w:r w:rsidR="00A10DD4" w:rsidRPr="003859B6">
        <w:rPr>
          <w:rStyle w:val="normaltextrun"/>
        </w:rPr>
        <w:t xml:space="preserve">followed </w:t>
      </w:r>
      <w:r w:rsidR="00593A69" w:rsidRPr="003859B6">
        <w:rPr>
          <w:rStyle w:val="normaltextrun"/>
        </w:rPr>
        <w:t>a much slower growth path than exports (Figure 8).</w:t>
      </w:r>
    </w:p>
    <w:p w:rsidR="00593A69" w:rsidRPr="003859B6" w:rsidRDefault="00B00EE4" w:rsidP="00593A69">
      <w:pPr>
        <w:pStyle w:val="FigureTitle"/>
      </w:pPr>
      <w:r w:rsidRPr="003859B6">
        <w:fldChar w:fldCharType="begin"/>
      </w:r>
      <w:r w:rsidRPr="003859B6">
        <w:instrText xml:space="preserve"> MACROBUTTON NUMBERING Figure </w:instrText>
      </w:r>
      <w:r w:rsidRPr="003859B6">
        <w:fldChar w:fldCharType="begin"/>
      </w:r>
      <w:r w:rsidRPr="003859B6">
        <w:instrText xml:space="preserve"> SEQ  figure</w:instrText>
      </w:r>
      <w:r w:rsidRPr="003859B6">
        <w:fldChar w:fldCharType="separate"/>
      </w:r>
      <w:r w:rsidR="003859B6">
        <w:rPr>
          <w:noProof/>
        </w:rPr>
        <w:instrText>9</w:instrText>
      </w:r>
      <w:r w:rsidRPr="003859B6">
        <w:fldChar w:fldCharType="end"/>
      </w:r>
      <w:r w:rsidRPr="003859B6">
        <w:instrText>.</w:instrText>
      </w:r>
      <w:r w:rsidRPr="003859B6">
        <w:tab/>
      </w:r>
      <w:r w:rsidRPr="003859B6">
        <w:fldChar w:fldCharType="end"/>
      </w:r>
      <w:r w:rsidR="00593A69" w:rsidRPr="003859B6">
        <w:t>Indonesian imports and exports by value, 2014</w:t>
      </w:r>
    </w:p>
    <w:p w:rsidR="00593A69" w:rsidRPr="003859B6" w:rsidRDefault="00B00EE4" w:rsidP="00593A69">
      <w:pPr>
        <w:pStyle w:val="Num-DocParagraph"/>
        <w:jc w:val="center"/>
      </w:pPr>
      <w:r w:rsidRPr="003859B6">
        <w:rPr>
          <w:noProof/>
          <w:lang w:eastAsia="en-GB"/>
        </w:rPr>
        <w:drawing>
          <wp:inline distT="0" distB="0" distL="0" distR="0" wp14:anchorId="2F3D8C60" wp14:editId="128E8819">
            <wp:extent cx="5262113" cy="33016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63261" cy="3302415"/>
                    </a:xfrm>
                    <a:prstGeom prst="rect">
                      <a:avLst/>
                    </a:prstGeom>
                    <a:noFill/>
                  </pic:spPr>
                </pic:pic>
              </a:graphicData>
            </a:graphic>
          </wp:inline>
        </w:drawing>
      </w:r>
    </w:p>
    <w:p w:rsidR="00B00EE4" w:rsidRPr="003859B6" w:rsidRDefault="00B00EE4" w:rsidP="00B00EE4">
      <w:pPr>
        <w:pStyle w:val="FigureNote"/>
      </w:pPr>
      <w:r w:rsidRPr="003859B6">
        <w:t>Source</w:t>
      </w:r>
      <w:r w:rsidR="003F3442" w:rsidRPr="003859B6">
        <w:t>:</w:t>
      </w:r>
      <w:r w:rsidR="00A76637" w:rsidRPr="003859B6">
        <w:t xml:space="preserve"> </w:t>
      </w:r>
      <w:r w:rsidR="00B92ECD" w:rsidRPr="003859B6">
        <w:t>UN DESA (</w:t>
      </w:r>
      <w:r w:rsidR="00245E86" w:rsidRPr="003859B6">
        <w:t>2016</w:t>
      </w:r>
      <w:r w:rsidR="00B92ECD" w:rsidRPr="003859B6">
        <w:t xml:space="preserve">), </w:t>
      </w:r>
      <w:r w:rsidR="00B92ECD" w:rsidRPr="003859B6">
        <w:rPr>
          <w:i/>
        </w:rPr>
        <w:t xml:space="preserve">UN </w:t>
      </w:r>
      <w:proofErr w:type="spellStart"/>
      <w:r w:rsidR="00B92ECD" w:rsidRPr="003859B6">
        <w:rPr>
          <w:i/>
        </w:rPr>
        <w:t>Comtrade</w:t>
      </w:r>
      <w:proofErr w:type="spellEnd"/>
      <w:r w:rsidR="00B92ECD" w:rsidRPr="003859B6">
        <w:t xml:space="preserve">, </w:t>
      </w:r>
      <w:hyperlink r:id="rId33" w:history="1">
        <w:r w:rsidR="00B92ECD" w:rsidRPr="003859B6">
          <w:rPr>
            <w:rStyle w:val="Hyperlink"/>
          </w:rPr>
          <w:t>https://comtrade.un.org/</w:t>
        </w:r>
      </w:hyperlink>
      <w:r w:rsidR="00B92ECD" w:rsidRPr="003859B6">
        <w:t xml:space="preserve">. </w:t>
      </w:r>
    </w:p>
    <w:p w:rsidR="00FD11BC" w:rsidRPr="003859B6" w:rsidRDefault="00593A69" w:rsidP="00593A69">
      <w:pPr>
        <w:pStyle w:val="Num-DocParagraph"/>
        <w:rPr>
          <w:rStyle w:val="normaltextrun"/>
        </w:rPr>
      </w:pPr>
      <w:r w:rsidRPr="003859B6">
        <w:t xml:space="preserve"> </w:t>
      </w:r>
      <w:r w:rsidR="00FD11BC" w:rsidRPr="003859B6">
        <w:fldChar w:fldCharType="begin"/>
      </w:r>
      <w:r w:rsidR="00FD11BC" w:rsidRPr="003859B6">
        <w:instrText xml:space="preserve"> MACROBUTTON NUMBERING </w:instrText>
      </w:r>
      <w:r w:rsidR="00FD11BC" w:rsidRPr="003859B6">
        <w:fldChar w:fldCharType="begin"/>
      </w:r>
      <w:r w:rsidR="00FD11BC" w:rsidRPr="003859B6">
        <w:instrText xml:space="preserve"> SEQ  dpara</w:instrText>
      </w:r>
      <w:r w:rsidR="00FD11BC" w:rsidRPr="003859B6">
        <w:fldChar w:fldCharType="separate"/>
      </w:r>
      <w:r w:rsidR="003859B6">
        <w:rPr>
          <w:noProof/>
        </w:rPr>
        <w:instrText>92</w:instrText>
      </w:r>
      <w:r w:rsidR="00FD11BC" w:rsidRPr="003859B6">
        <w:fldChar w:fldCharType="end"/>
      </w:r>
      <w:r w:rsidR="00FD11BC" w:rsidRPr="003859B6">
        <w:instrText>.</w:instrText>
      </w:r>
      <w:r w:rsidR="00FD11BC" w:rsidRPr="003859B6">
        <w:tab/>
      </w:r>
      <w:r w:rsidR="00FD11BC" w:rsidRPr="003859B6">
        <w:fldChar w:fldCharType="end"/>
      </w:r>
      <w:r w:rsidR="00FD11BC" w:rsidRPr="003859B6">
        <w:t xml:space="preserve"> </w:t>
      </w:r>
      <w:r w:rsidR="00FD11BC" w:rsidRPr="003859B6">
        <w:rPr>
          <w:rStyle w:val="normaltextrun"/>
        </w:rPr>
        <w:t>Restricting imports raises the producer price and encourages more domestic production, which boosts the welfare of net sellers of the protected product</w:t>
      </w:r>
      <w:r w:rsidR="00A10DD4" w:rsidRPr="003859B6">
        <w:rPr>
          <w:rStyle w:val="normaltextrun"/>
        </w:rPr>
        <w:t xml:space="preserve"> –</w:t>
      </w:r>
      <w:r w:rsidR="00A76637" w:rsidRPr="003859B6">
        <w:rPr>
          <w:rStyle w:val="normaltextrun"/>
        </w:rPr>
        <w:t xml:space="preserve"> fishers</w:t>
      </w:r>
      <w:r w:rsidR="0031479D" w:rsidRPr="003859B6">
        <w:rPr>
          <w:rStyle w:val="normaltextrun"/>
        </w:rPr>
        <w:t xml:space="preserve"> and</w:t>
      </w:r>
      <w:r w:rsidR="00A76637" w:rsidRPr="003859B6">
        <w:rPr>
          <w:rStyle w:val="normaltextrun"/>
        </w:rPr>
        <w:t xml:space="preserve"> aqua</w:t>
      </w:r>
      <w:r w:rsidR="0031479D" w:rsidRPr="003859B6">
        <w:rPr>
          <w:rStyle w:val="normaltextrun"/>
        </w:rPr>
        <w:t xml:space="preserve">culture </w:t>
      </w:r>
      <w:r w:rsidR="00A76637" w:rsidRPr="003859B6">
        <w:rPr>
          <w:rStyle w:val="normaltextrun"/>
        </w:rPr>
        <w:t>producers</w:t>
      </w:r>
      <w:r w:rsidR="00FD11BC" w:rsidRPr="003859B6">
        <w:rPr>
          <w:rStyle w:val="normaltextrun"/>
        </w:rPr>
        <w:t>. However, the benefits accrue mainly to the largest producers, who are the least likely to be food</w:t>
      </w:r>
      <w:r w:rsidR="003F3442" w:rsidRPr="003859B6">
        <w:rPr>
          <w:rStyle w:val="normaltextrun"/>
        </w:rPr>
        <w:t>-</w:t>
      </w:r>
      <w:r w:rsidR="00FD11BC" w:rsidRPr="003859B6">
        <w:rPr>
          <w:rStyle w:val="normaltextrun"/>
        </w:rPr>
        <w:t xml:space="preserve">insecure. </w:t>
      </w:r>
      <w:r w:rsidR="003F3442" w:rsidRPr="003859B6">
        <w:rPr>
          <w:rStyle w:val="normaltextrun"/>
        </w:rPr>
        <w:t>At the same time</w:t>
      </w:r>
      <w:r w:rsidR="00FD11BC" w:rsidRPr="003859B6">
        <w:rPr>
          <w:rStyle w:val="normaltextrun"/>
        </w:rPr>
        <w:t>, higher prices lower the welfare of net buyers</w:t>
      </w:r>
      <w:r w:rsidR="003F3442" w:rsidRPr="003859B6">
        <w:rPr>
          <w:rStyle w:val="normaltextrun"/>
        </w:rPr>
        <w:t xml:space="preserve"> –</w:t>
      </w:r>
      <w:r w:rsidR="00A76637" w:rsidRPr="003859B6">
        <w:rPr>
          <w:rStyle w:val="normaltextrun"/>
        </w:rPr>
        <w:t xml:space="preserve"> food consumers</w:t>
      </w:r>
      <w:r w:rsidR="003F3442" w:rsidRPr="003859B6">
        <w:rPr>
          <w:rStyle w:val="normaltextrun"/>
        </w:rPr>
        <w:t xml:space="preserve"> –</w:t>
      </w:r>
      <w:r w:rsidR="00FD11BC" w:rsidRPr="003859B6">
        <w:rPr>
          <w:rStyle w:val="normaltextrun"/>
        </w:rPr>
        <w:t xml:space="preserve"> as well as their access to food and ultimately their food security and nutrition. </w:t>
      </w:r>
      <w:r w:rsidR="00023158" w:rsidRPr="003859B6">
        <w:rPr>
          <w:rStyle w:val="normaltextrun"/>
        </w:rPr>
        <w:t xml:space="preserve">As the </w:t>
      </w:r>
      <w:r w:rsidR="00FD11BC" w:rsidRPr="003859B6">
        <w:rPr>
          <w:rStyle w:val="normaltextrun"/>
        </w:rPr>
        <w:t xml:space="preserve">poorest and most food-insecure </w:t>
      </w:r>
      <w:r w:rsidR="00023158" w:rsidRPr="003859B6">
        <w:rPr>
          <w:rStyle w:val="normaltextrun"/>
        </w:rPr>
        <w:t xml:space="preserve">spend the highest proportion of their income on food, they </w:t>
      </w:r>
      <w:r w:rsidR="00FD11BC" w:rsidRPr="003859B6">
        <w:rPr>
          <w:rStyle w:val="normaltextrun"/>
        </w:rPr>
        <w:t>are hurt</w:t>
      </w:r>
      <w:r w:rsidR="00023158" w:rsidRPr="003859B6">
        <w:rPr>
          <w:rStyle w:val="normaltextrun"/>
        </w:rPr>
        <w:t xml:space="preserve"> the</w:t>
      </w:r>
      <w:r w:rsidR="00FD11BC" w:rsidRPr="003859B6">
        <w:rPr>
          <w:rStyle w:val="normaltextrun"/>
        </w:rPr>
        <w:t xml:space="preserve"> most. </w:t>
      </w:r>
      <w:r w:rsidR="00A76637" w:rsidRPr="003859B6">
        <w:rPr>
          <w:rStyle w:val="normaltextrun"/>
        </w:rPr>
        <w:t xml:space="preserve">Such restrictions thus contradict the </w:t>
      </w:r>
      <w:r w:rsidR="00763A48" w:rsidRPr="003859B6">
        <w:rPr>
          <w:rStyle w:val="normaltextrun"/>
        </w:rPr>
        <w:t>government</w:t>
      </w:r>
      <w:r w:rsidR="00A76637" w:rsidRPr="003859B6">
        <w:rPr>
          <w:rStyle w:val="normaltextrun"/>
        </w:rPr>
        <w:t>’s</w:t>
      </w:r>
      <w:r w:rsidR="00763A48" w:rsidRPr="003859B6">
        <w:rPr>
          <w:rStyle w:val="normaltextrun"/>
        </w:rPr>
        <w:t xml:space="preserve"> stated objective </w:t>
      </w:r>
      <w:r w:rsidR="00A76637" w:rsidRPr="003859B6">
        <w:rPr>
          <w:rStyle w:val="normaltextrun"/>
        </w:rPr>
        <w:t xml:space="preserve">to encourage </w:t>
      </w:r>
      <w:r w:rsidR="00763A48" w:rsidRPr="003859B6">
        <w:rPr>
          <w:rStyle w:val="normaltextrun"/>
        </w:rPr>
        <w:t>fish consumption in the coming years.</w:t>
      </w:r>
    </w:p>
    <w:p w:rsidR="00FD11BC" w:rsidRPr="003859B6" w:rsidRDefault="00FD11BC" w:rsidP="00FD11BC">
      <w:pPr>
        <w:pStyle w:val="Num-DocParagraph"/>
        <w:rPr>
          <w:rStyle w:val="normaltextrun"/>
        </w:rPr>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93</w:instrText>
      </w:r>
      <w:r w:rsidRPr="003859B6">
        <w:fldChar w:fldCharType="end"/>
      </w:r>
      <w:r w:rsidRPr="003859B6">
        <w:instrText>.</w:instrText>
      </w:r>
      <w:r w:rsidRPr="003859B6">
        <w:tab/>
      </w:r>
      <w:r w:rsidRPr="003859B6">
        <w:fldChar w:fldCharType="end"/>
      </w:r>
      <w:r w:rsidRPr="003859B6">
        <w:t>Protection also reduces incentive</w:t>
      </w:r>
      <w:r w:rsidR="00763A48" w:rsidRPr="003859B6">
        <w:t>s</w:t>
      </w:r>
      <w:r w:rsidRPr="003859B6">
        <w:t xml:space="preserve"> to improve domestic productivity </w:t>
      </w:r>
      <w:r w:rsidR="00556969" w:rsidRPr="003859B6">
        <w:t xml:space="preserve">with a view </w:t>
      </w:r>
      <w:r w:rsidRPr="003859B6">
        <w:t>to compet</w:t>
      </w:r>
      <w:r w:rsidR="00556969" w:rsidRPr="003859B6">
        <w:t>ing</w:t>
      </w:r>
      <w:r w:rsidRPr="003859B6">
        <w:t xml:space="preserve"> with foreign producers</w:t>
      </w:r>
      <w:r w:rsidR="00556969" w:rsidRPr="003859B6">
        <w:t>,</w:t>
      </w:r>
      <w:r w:rsidRPr="003859B6">
        <w:t xml:space="preserve"> and hence tend to lock domestic production systems in</w:t>
      </w:r>
      <w:r w:rsidR="00556969" w:rsidRPr="003859B6">
        <w:t>to</w:t>
      </w:r>
      <w:r w:rsidRPr="003859B6">
        <w:t xml:space="preserve"> expensive forms of production. </w:t>
      </w:r>
      <w:r w:rsidR="00556969" w:rsidRPr="003859B6">
        <w:t xml:space="preserve">Moreover, </w:t>
      </w:r>
      <w:r w:rsidR="005E36EE" w:rsidRPr="003859B6">
        <w:t>a</w:t>
      </w:r>
      <w:r w:rsidRPr="003859B6">
        <w:t>s far as overfished capture species are concerned, restrictions on imports increase the demand for domestically</w:t>
      </w:r>
      <w:r w:rsidR="00556969" w:rsidRPr="003859B6">
        <w:t>-</w:t>
      </w:r>
      <w:r w:rsidRPr="003859B6">
        <w:t>caught fish, hence worsening pressure</w:t>
      </w:r>
      <w:r w:rsidR="00556969" w:rsidRPr="003859B6">
        <w:t>s</w:t>
      </w:r>
      <w:r w:rsidRPr="003859B6">
        <w:t xml:space="preserve"> on endangered stocks.</w:t>
      </w:r>
    </w:p>
    <w:p w:rsidR="00FD11BC" w:rsidRPr="003859B6" w:rsidRDefault="00FD11BC" w:rsidP="00FD11BC">
      <w:pPr>
        <w:pStyle w:val="Num-DocParagraph"/>
      </w:pPr>
      <w:r w:rsidRPr="003859B6">
        <w:rPr>
          <w:rStyle w:val="normaltextrun"/>
        </w:rPr>
        <w:fldChar w:fldCharType="begin"/>
      </w:r>
      <w:r w:rsidRPr="003859B6">
        <w:rPr>
          <w:rStyle w:val="normaltextrun"/>
        </w:rPr>
        <w:instrText xml:space="preserve"> MACROBUTTON NUMBERING </w:instrText>
      </w:r>
      <w:r w:rsidRPr="003859B6">
        <w:rPr>
          <w:rStyle w:val="normaltextrun"/>
        </w:rPr>
        <w:fldChar w:fldCharType="begin"/>
      </w:r>
      <w:r w:rsidRPr="003859B6">
        <w:rPr>
          <w:rStyle w:val="normaltextrun"/>
        </w:rPr>
        <w:instrText xml:space="preserve"> SEQ  dpara</w:instrText>
      </w:r>
      <w:r w:rsidRPr="003859B6">
        <w:rPr>
          <w:rStyle w:val="normaltextrun"/>
        </w:rPr>
        <w:fldChar w:fldCharType="separate"/>
      </w:r>
      <w:r w:rsidR="003859B6">
        <w:rPr>
          <w:rStyle w:val="normaltextrun"/>
          <w:noProof/>
        </w:rPr>
        <w:instrText>94</w:instrText>
      </w:r>
      <w:r w:rsidRPr="003859B6">
        <w:rPr>
          <w:rStyle w:val="normaltextrun"/>
        </w:rPr>
        <w:fldChar w:fldCharType="end"/>
      </w:r>
      <w:r w:rsidRPr="003859B6">
        <w:rPr>
          <w:rStyle w:val="normaltextrun"/>
        </w:rPr>
        <w:instrText>.</w:instrText>
      </w:r>
      <w:r w:rsidRPr="003859B6">
        <w:rPr>
          <w:rStyle w:val="normaltextrun"/>
        </w:rPr>
        <w:tab/>
      </w:r>
      <w:r w:rsidRPr="003859B6">
        <w:rPr>
          <w:rStyle w:val="normaltextrun"/>
        </w:rPr>
        <w:fldChar w:fldCharType="end"/>
      </w:r>
      <w:r w:rsidRPr="003859B6">
        <w:rPr>
          <w:rStyle w:val="normaltextrun"/>
        </w:rPr>
        <w:t xml:space="preserve">Restrictions on investment by foreign investors can have similar effects. The most recent Negative Investment List adopted by the government </w:t>
      </w:r>
      <w:r w:rsidR="00451C6E" w:rsidRPr="003859B6">
        <w:rPr>
          <w:rStyle w:val="normaltextrun"/>
        </w:rPr>
        <w:t>(</w:t>
      </w:r>
      <w:r w:rsidRPr="003859B6">
        <w:t xml:space="preserve">Regulation </w:t>
      </w:r>
      <w:r w:rsidR="00451C6E" w:rsidRPr="003859B6">
        <w:t>44/2015)</w:t>
      </w:r>
      <w:r w:rsidRPr="003859B6">
        <w:rPr>
          <w:rStyle w:val="normaltextrun"/>
        </w:rPr>
        <w:t xml:space="preserve"> limits the share of foreign investment in certain sectors of the economy. In capture fisheries, foreign capital is entirely prohibited. Because large vessels are not currently produced in Indonesia, t</w:t>
      </w:r>
      <w:r w:rsidRPr="003859B6">
        <w:t xml:space="preserve">his means that not many large fishing vessels </w:t>
      </w:r>
      <w:r w:rsidR="00A57B6C" w:rsidRPr="003859B6">
        <w:t xml:space="preserve">will operate in Indonesian waters </w:t>
      </w:r>
      <w:r w:rsidRPr="003859B6">
        <w:t xml:space="preserve">in the near to medium term. The Indonesian </w:t>
      </w:r>
      <w:r w:rsidR="00A57B6C" w:rsidRPr="003859B6">
        <w:t xml:space="preserve">government </w:t>
      </w:r>
      <w:r w:rsidRPr="003859B6">
        <w:t xml:space="preserve">aims to </w:t>
      </w:r>
      <w:r w:rsidR="00A57B6C" w:rsidRPr="003859B6">
        <w:t xml:space="preserve">ensure that </w:t>
      </w:r>
      <w:r w:rsidRPr="003859B6">
        <w:t>the artisanal sector catch</w:t>
      </w:r>
      <w:r w:rsidR="00A57B6C" w:rsidRPr="003859B6">
        <w:t>es</w:t>
      </w:r>
      <w:r w:rsidRPr="003859B6">
        <w:t xml:space="preserve"> the fish that would have </w:t>
      </w:r>
      <w:r w:rsidR="00A57B6C" w:rsidRPr="003859B6">
        <w:t xml:space="preserve">otherwise </w:t>
      </w:r>
      <w:r w:rsidRPr="003859B6">
        <w:t xml:space="preserve">been caught by the industrial fleet, hence increasing </w:t>
      </w:r>
      <w:r w:rsidR="00A57B6C" w:rsidRPr="003859B6">
        <w:t xml:space="preserve">artisanal </w:t>
      </w:r>
      <w:r w:rsidRPr="003859B6">
        <w:t xml:space="preserve">incomes. However, as </w:t>
      </w:r>
      <w:r w:rsidR="00A57B6C" w:rsidRPr="003859B6">
        <w:t xml:space="preserve">mentioned </w:t>
      </w:r>
      <w:r w:rsidRPr="003859B6">
        <w:t xml:space="preserve">in </w:t>
      </w:r>
      <w:r w:rsidR="00A57B6C" w:rsidRPr="003859B6">
        <w:t xml:space="preserve">Section </w:t>
      </w:r>
      <w:r w:rsidRPr="003859B6">
        <w:t>2, the artisanal and industrial fleet partially target different species.</w:t>
      </w:r>
    </w:p>
    <w:p w:rsidR="00FD11BC" w:rsidRPr="003859B6" w:rsidRDefault="005E36EE" w:rsidP="00FD11BC">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95</w:instrText>
      </w:r>
      <w:r w:rsidRPr="003859B6">
        <w:fldChar w:fldCharType="end"/>
      </w:r>
      <w:r w:rsidRPr="003859B6">
        <w:instrText>.</w:instrText>
      </w:r>
      <w:r w:rsidRPr="003859B6">
        <w:tab/>
      </w:r>
      <w:r w:rsidRPr="003859B6">
        <w:fldChar w:fldCharType="end"/>
      </w:r>
      <w:r w:rsidR="00FD11BC" w:rsidRPr="003859B6">
        <w:t xml:space="preserve">In addition, implications of these restrictions for </w:t>
      </w:r>
      <w:r w:rsidR="00A57B6C" w:rsidRPr="003859B6">
        <w:t xml:space="preserve">national </w:t>
      </w:r>
      <w:r w:rsidR="00FD11BC" w:rsidRPr="003859B6">
        <w:t xml:space="preserve">food security are ambiguous. Indeed, the processing sector may be </w:t>
      </w:r>
      <w:r w:rsidR="00A57B6C" w:rsidRPr="003859B6">
        <w:t>un</w:t>
      </w:r>
      <w:r w:rsidR="00FD11BC" w:rsidRPr="003859B6">
        <w:t xml:space="preserve">able to source from artisanal fishers the fish </w:t>
      </w:r>
      <w:r w:rsidR="00A57B6C" w:rsidRPr="003859B6">
        <w:t xml:space="preserve">that </w:t>
      </w:r>
      <w:r w:rsidR="00FD11BC" w:rsidRPr="003859B6">
        <w:t xml:space="preserve">they </w:t>
      </w:r>
      <w:r w:rsidR="00A57B6C" w:rsidRPr="003859B6">
        <w:t>previously</w:t>
      </w:r>
      <w:r w:rsidR="00FD11BC" w:rsidRPr="003859B6">
        <w:t xml:space="preserve"> source</w:t>
      </w:r>
      <w:r w:rsidR="00A57B6C" w:rsidRPr="003859B6">
        <w:t>d</w:t>
      </w:r>
      <w:r w:rsidR="00FD11BC" w:rsidRPr="003859B6">
        <w:t xml:space="preserve"> from the industrial fleet, at least in the short run, resulting in potential job and income losses</w:t>
      </w:r>
      <w:r w:rsidRPr="003859B6">
        <w:t xml:space="preserve"> in the processing sector</w:t>
      </w:r>
      <w:r w:rsidR="00FD11BC" w:rsidRPr="003859B6">
        <w:t xml:space="preserve">. In addition, to the extent that the industrial fleet was more cost-efficient than the artisanal fleet, the consumer price for fish caught by artisanal fishers could be </w:t>
      </w:r>
      <w:r w:rsidR="00961957" w:rsidRPr="003859B6">
        <w:t xml:space="preserve">higher </w:t>
      </w:r>
      <w:r w:rsidR="00FD11BC" w:rsidRPr="003859B6">
        <w:t xml:space="preserve">than if it had been caught by industrial vessels. Restrictions on investment would </w:t>
      </w:r>
      <w:r w:rsidR="00961957" w:rsidRPr="003859B6">
        <w:t xml:space="preserve">consequently </w:t>
      </w:r>
      <w:r w:rsidR="00FD11BC" w:rsidRPr="003859B6">
        <w:t>have distributional effects similar to those of import restrictions.</w:t>
      </w:r>
    </w:p>
    <w:p w:rsidR="005E36EE" w:rsidRPr="003859B6" w:rsidRDefault="005E36EE" w:rsidP="00FD11BC">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96</w:instrText>
      </w:r>
      <w:r w:rsidRPr="003859B6">
        <w:fldChar w:fldCharType="end"/>
      </w:r>
      <w:r w:rsidRPr="003859B6">
        <w:instrText>.</w:instrText>
      </w:r>
      <w:r w:rsidRPr="003859B6">
        <w:tab/>
      </w:r>
      <w:r w:rsidRPr="003859B6">
        <w:fldChar w:fldCharType="end"/>
      </w:r>
      <w:r w:rsidRPr="003859B6">
        <w:t xml:space="preserve">Investigating </w:t>
      </w:r>
      <w:r w:rsidR="001D4D18" w:rsidRPr="003859B6">
        <w:t>these issues in more detail, and trying to estimate the impacts of trade and investment restrictions for particular groups of producers or consumers</w:t>
      </w:r>
      <w:r w:rsidR="00961957" w:rsidRPr="003859B6">
        <w:t>,</w:t>
      </w:r>
      <w:r w:rsidR="001D4D18" w:rsidRPr="003859B6">
        <w:t xml:space="preserve"> require</w:t>
      </w:r>
      <w:r w:rsidR="00E344CE" w:rsidRPr="003859B6">
        <w:t>s</w:t>
      </w:r>
      <w:r w:rsidR="001D4D18" w:rsidRPr="003859B6">
        <w:t xml:space="preserve"> both detailed price data and household level data on production and consumption. The Government of Indonesia is currently improving its fisheries and aquaculture data collection system</w:t>
      </w:r>
      <w:r w:rsidR="00CB3E9B" w:rsidRPr="003859B6">
        <w:t>. Once the necessary data becomes available</w:t>
      </w:r>
      <w:r w:rsidR="00E344CE" w:rsidRPr="003859B6">
        <w:t>, i</w:t>
      </w:r>
      <w:r w:rsidR="00BE1EA3" w:rsidRPr="003859B6">
        <w:t xml:space="preserve">nvestment in </w:t>
      </w:r>
      <w:r w:rsidR="00961957" w:rsidRPr="003859B6">
        <w:t xml:space="preserve">the abovementioned </w:t>
      </w:r>
      <w:r w:rsidR="00BE1EA3" w:rsidRPr="003859B6">
        <w:t xml:space="preserve">impact analysis </w:t>
      </w:r>
      <w:r w:rsidR="00E344CE" w:rsidRPr="003859B6">
        <w:t>would be a welcome prio</w:t>
      </w:r>
      <w:r w:rsidR="00BE1EA3" w:rsidRPr="003859B6">
        <w:t>rity.</w:t>
      </w:r>
    </w:p>
    <w:p w:rsidR="00B02A67" w:rsidRPr="003859B6" w:rsidRDefault="00DC3396" w:rsidP="00A32CA2">
      <w:pPr>
        <w:pStyle w:val="Heading2"/>
      </w:pPr>
      <w:bookmarkStart w:id="94" w:name="_Toc472354591"/>
      <w:bookmarkStart w:id="95" w:name="_Toc472936635"/>
      <w:bookmarkStart w:id="96" w:name="_Toc472954983"/>
      <w:bookmarkStart w:id="97" w:name="_Toc474487639"/>
      <w:r w:rsidRPr="003859B6">
        <w:t>4</w:t>
      </w:r>
      <w:r w:rsidR="00B02A67" w:rsidRPr="003859B6">
        <w:t xml:space="preserve">. The way forward: </w:t>
      </w:r>
      <w:r w:rsidR="003E6C0B" w:rsidRPr="003859B6">
        <w:t>F</w:t>
      </w:r>
      <w:r w:rsidR="00BA19FE" w:rsidRPr="003859B6">
        <w:t xml:space="preserve">rom food </w:t>
      </w:r>
      <w:r w:rsidR="00BA19FE" w:rsidRPr="003859B6">
        <w:rPr>
          <w:i/>
        </w:rPr>
        <w:t>sovereignty</w:t>
      </w:r>
      <w:r w:rsidR="00BA19FE" w:rsidRPr="003859B6">
        <w:t xml:space="preserve"> to food </w:t>
      </w:r>
      <w:r w:rsidR="00BA19FE" w:rsidRPr="003859B6">
        <w:rPr>
          <w:i/>
        </w:rPr>
        <w:t>security</w:t>
      </w:r>
      <w:bookmarkEnd w:id="94"/>
      <w:bookmarkEnd w:id="95"/>
      <w:bookmarkEnd w:id="96"/>
      <w:bookmarkEnd w:id="97"/>
    </w:p>
    <w:p w:rsidR="008E692A" w:rsidRPr="003859B6" w:rsidRDefault="00957909" w:rsidP="00957909">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97</w:instrText>
      </w:r>
      <w:r w:rsidRPr="003859B6">
        <w:fldChar w:fldCharType="end"/>
      </w:r>
      <w:r w:rsidRPr="003859B6">
        <w:instrText>.</w:instrText>
      </w:r>
      <w:r w:rsidRPr="003859B6">
        <w:tab/>
      </w:r>
      <w:r w:rsidRPr="003859B6">
        <w:fldChar w:fldCharType="end"/>
      </w:r>
      <w:r w:rsidR="008E692A" w:rsidRPr="003859B6">
        <w:t xml:space="preserve">Fisheries and aquaculture policies in Indonesia have the potential to improve food security and nutrition if they are focused on </w:t>
      </w:r>
      <w:r w:rsidR="00F129F4" w:rsidRPr="003859B6">
        <w:t xml:space="preserve">three </w:t>
      </w:r>
      <w:r w:rsidR="008E692A" w:rsidRPr="003859B6">
        <w:t>key</w:t>
      </w:r>
      <w:r w:rsidR="004B74CE" w:rsidRPr="003859B6">
        <w:t>, closely-intertwined</w:t>
      </w:r>
      <w:r w:rsidR="008E692A" w:rsidRPr="003859B6">
        <w:t xml:space="preserve"> objectives: </w:t>
      </w:r>
      <w:r w:rsidR="00B24F70" w:rsidRPr="003859B6">
        <w:t xml:space="preserve">the sustainable management of </w:t>
      </w:r>
      <w:r w:rsidR="008E692A" w:rsidRPr="003859B6">
        <w:t>natural resources for the future</w:t>
      </w:r>
      <w:r w:rsidR="000F4E7A" w:rsidRPr="003859B6">
        <w:t xml:space="preserve">, </w:t>
      </w:r>
      <w:r w:rsidR="00370ADB" w:rsidRPr="003859B6">
        <w:t xml:space="preserve">sustainable increases to </w:t>
      </w:r>
      <w:r w:rsidR="008E692A" w:rsidRPr="003859B6">
        <w:t>economic opportunities for fishers and aqua-farmers</w:t>
      </w:r>
      <w:r w:rsidR="000F4E7A" w:rsidRPr="003859B6">
        <w:t xml:space="preserve">, </w:t>
      </w:r>
      <w:r w:rsidR="009E64DC" w:rsidRPr="003859B6">
        <w:t>and</w:t>
      </w:r>
      <w:r w:rsidR="008E692A" w:rsidRPr="003859B6">
        <w:t xml:space="preserve"> </w:t>
      </w:r>
      <w:r w:rsidR="00370ADB" w:rsidRPr="003859B6">
        <w:t xml:space="preserve">improved </w:t>
      </w:r>
      <w:r w:rsidR="008E692A" w:rsidRPr="003859B6">
        <w:t xml:space="preserve">consumer access to seafood. </w:t>
      </w:r>
    </w:p>
    <w:p w:rsidR="00155097" w:rsidRPr="003859B6" w:rsidRDefault="00960D55" w:rsidP="008E692A">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98</w:instrText>
      </w:r>
      <w:r w:rsidRPr="003859B6">
        <w:fldChar w:fldCharType="end"/>
      </w:r>
      <w:r w:rsidRPr="003859B6">
        <w:instrText>.</w:instrText>
      </w:r>
      <w:r w:rsidRPr="003859B6">
        <w:tab/>
      </w:r>
      <w:r w:rsidRPr="003859B6">
        <w:fldChar w:fldCharType="end"/>
      </w:r>
      <w:r w:rsidR="006E78D9" w:rsidRPr="003859B6" w:rsidDel="000F4E7A">
        <w:t xml:space="preserve"> </w:t>
      </w:r>
      <w:r w:rsidR="000F4E7A" w:rsidRPr="003859B6">
        <w:t xml:space="preserve">The sustainable </w:t>
      </w:r>
      <w:r w:rsidR="006E78D9" w:rsidRPr="003859B6">
        <w:t>exploitation of resources and ecosystems can both reduce the risk</w:t>
      </w:r>
      <w:r w:rsidR="00096923" w:rsidRPr="003859B6">
        <w:t>s</w:t>
      </w:r>
      <w:r w:rsidR="006E78D9" w:rsidRPr="003859B6">
        <w:t xml:space="preserve"> associated with the sector’s contribution to food security and increase incomes for fishers and aqua-farmers</w:t>
      </w:r>
      <w:r w:rsidR="00F129F4" w:rsidRPr="003859B6">
        <w:t xml:space="preserve"> in the long run</w:t>
      </w:r>
      <w:r w:rsidR="006E78D9" w:rsidRPr="003859B6">
        <w:t xml:space="preserve">. </w:t>
      </w:r>
      <w:r w:rsidR="008E692A" w:rsidRPr="003859B6">
        <w:t>T</w:t>
      </w:r>
      <w:r w:rsidR="00F129F4" w:rsidRPr="003859B6">
        <w:t>o transition to more sustainable seafood production, t</w:t>
      </w:r>
      <w:r w:rsidR="008E692A" w:rsidRPr="003859B6">
        <w:t xml:space="preserve">his report recommends complementing the </w:t>
      </w:r>
      <w:r w:rsidR="00D04DA2" w:rsidRPr="003859B6">
        <w:t>g</w:t>
      </w:r>
      <w:r w:rsidR="008E692A" w:rsidRPr="003859B6">
        <w:t xml:space="preserve">overnment’s efforts to combat illegal fishing with better management of domestic fisheries, notably by adopting long-term measurable management targets for the main </w:t>
      </w:r>
      <w:r w:rsidR="008E692A" w:rsidRPr="003859B6" w:rsidDel="000F4E7A">
        <w:t>fisheries</w:t>
      </w:r>
      <w:r w:rsidR="008E692A" w:rsidRPr="003859B6">
        <w:t xml:space="preserve">. </w:t>
      </w:r>
      <w:r w:rsidR="000B52FA" w:rsidRPr="003859B6">
        <w:t>Government efforts to improve catch data monitoring and centrali</w:t>
      </w:r>
      <w:r w:rsidR="00D04DA2" w:rsidRPr="003859B6">
        <w:t>s</w:t>
      </w:r>
      <w:r w:rsidR="000B52FA" w:rsidRPr="003859B6">
        <w:t xml:space="preserve">e the data collection system of MMAF are an important prerequisite to better fisheries management. The challenge will be to </w:t>
      </w:r>
      <w:r w:rsidR="000F4E7A" w:rsidRPr="003859B6">
        <w:t xml:space="preserve">also </w:t>
      </w:r>
      <w:r w:rsidR="000B52FA" w:rsidRPr="003859B6">
        <w:t xml:space="preserve">include small-scale fisheries in the data collection process. </w:t>
      </w:r>
      <w:r w:rsidR="00096923" w:rsidRPr="003859B6">
        <w:t>Establishing</w:t>
      </w:r>
      <w:r w:rsidR="000B52FA" w:rsidRPr="003859B6">
        <w:t xml:space="preserve"> a legitimate and acceptable governance system </w:t>
      </w:r>
      <w:r w:rsidR="00F129F4" w:rsidRPr="003859B6">
        <w:t xml:space="preserve">that </w:t>
      </w:r>
      <w:r w:rsidR="00D04DA2" w:rsidRPr="003859B6">
        <w:t>involves</w:t>
      </w:r>
      <w:r w:rsidR="00F129F4" w:rsidRPr="003859B6">
        <w:t xml:space="preserve"> both stakeholders and scientists </w:t>
      </w:r>
      <w:r w:rsidR="000F4E7A" w:rsidRPr="003859B6">
        <w:t>in</w:t>
      </w:r>
      <w:r w:rsidR="00F129F4" w:rsidRPr="003859B6">
        <w:t xml:space="preserve"> target-setting and access allocation is</w:t>
      </w:r>
      <w:r w:rsidR="000B52FA" w:rsidRPr="003859B6">
        <w:t xml:space="preserve"> the second key stepping</w:t>
      </w:r>
      <w:r w:rsidR="00096923" w:rsidRPr="003859B6">
        <w:t>-</w:t>
      </w:r>
      <w:r w:rsidR="000B52FA" w:rsidRPr="003859B6">
        <w:t>stone to</w:t>
      </w:r>
      <w:r w:rsidR="00F129F4" w:rsidRPr="003859B6">
        <w:t>wards</w:t>
      </w:r>
      <w:r w:rsidR="000B52FA" w:rsidRPr="003859B6">
        <w:t xml:space="preserve"> sustainable fisheries management.</w:t>
      </w:r>
      <w:r w:rsidR="006E78D9" w:rsidRPr="003859B6">
        <w:t xml:space="preserve"> The report also identifies scope for better regulation of the aquaculture sub-sector, </w:t>
      </w:r>
      <w:r w:rsidR="00D355C3" w:rsidRPr="003859B6">
        <w:t xml:space="preserve">accompanied by </w:t>
      </w:r>
      <w:r w:rsidR="006E78D9" w:rsidRPr="003859B6">
        <w:t>more comprehensive impact assessment of large farm operations</w:t>
      </w:r>
      <w:r w:rsidR="000F4E7A" w:rsidRPr="003859B6">
        <w:t>,</w:t>
      </w:r>
      <w:r w:rsidR="006E78D9" w:rsidRPr="003859B6">
        <w:t xml:space="preserve"> more regular controls</w:t>
      </w:r>
      <w:r w:rsidR="00D355C3" w:rsidRPr="003859B6">
        <w:t>,</w:t>
      </w:r>
      <w:r w:rsidR="006E78D9" w:rsidRPr="003859B6">
        <w:t xml:space="preserve"> and </w:t>
      </w:r>
      <w:r w:rsidR="00B920D4" w:rsidRPr="003859B6">
        <w:t xml:space="preserve">the </w:t>
      </w:r>
      <w:r w:rsidR="006E78D9" w:rsidRPr="003859B6">
        <w:t xml:space="preserve">clearer allocation of </w:t>
      </w:r>
      <w:r w:rsidR="00D355C3" w:rsidRPr="003859B6">
        <w:t xml:space="preserve">monitoring and information-gathering </w:t>
      </w:r>
      <w:r w:rsidR="006E78D9" w:rsidRPr="003859B6">
        <w:t xml:space="preserve">responsibilities between different </w:t>
      </w:r>
      <w:r w:rsidR="00D355C3" w:rsidRPr="003859B6">
        <w:t xml:space="preserve">government </w:t>
      </w:r>
      <w:r w:rsidR="006E78D9" w:rsidRPr="003859B6">
        <w:t>levels.</w:t>
      </w:r>
    </w:p>
    <w:p w:rsidR="00BC67E4" w:rsidRPr="003859B6" w:rsidRDefault="00FB31B9" w:rsidP="00BC67E4">
      <w:pPr>
        <w:pStyle w:val="Num-DocParagraph"/>
      </w:pPr>
      <w:r w:rsidRPr="003859B6">
        <w:fldChar w:fldCharType="begin"/>
      </w:r>
      <w:r w:rsidRPr="003859B6">
        <w:instrText xml:space="preserve"> MACROBUTTON NUMBERING </w:instrText>
      </w:r>
      <w:r w:rsidRPr="003859B6">
        <w:fldChar w:fldCharType="begin"/>
      </w:r>
      <w:r w:rsidRPr="003859B6">
        <w:instrText xml:space="preserve"> SEQ  dpara</w:instrText>
      </w:r>
      <w:r w:rsidRPr="003859B6">
        <w:fldChar w:fldCharType="separate"/>
      </w:r>
      <w:r w:rsidR="003859B6">
        <w:rPr>
          <w:noProof/>
        </w:rPr>
        <w:instrText>99</w:instrText>
      </w:r>
      <w:r w:rsidRPr="003859B6">
        <w:fldChar w:fldCharType="end"/>
      </w:r>
      <w:r w:rsidRPr="003859B6">
        <w:instrText>.</w:instrText>
      </w:r>
      <w:r w:rsidRPr="003859B6">
        <w:tab/>
      </w:r>
      <w:r w:rsidRPr="003859B6">
        <w:fldChar w:fldCharType="end"/>
      </w:r>
      <w:r w:rsidR="006E78D9" w:rsidRPr="003859B6">
        <w:t xml:space="preserve">Further improvements to the incomes of fishers and aqua-farmers will predominantly have to come from increases </w:t>
      </w:r>
      <w:r w:rsidRPr="003859B6">
        <w:t xml:space="preserve">in </w:t>
      </w:r>
      <w:r w:rsidR="006E78D9" w:rsidRPr="003859B6">
        <w:t>the value of seafood produced as well as reductions</w:t>
      </w:r>
      <w:r w:rsidR="00861352" w:rsidRPr="003859B6">
        <w:t xml:space="preserve"> in production cost</w:t>
      </w:r>
      <w:r w:rsidR="006E78D9" w:rsidRPr="003859B6">
        <w:t xml:space="preserve">. </w:t>
      </w:r>
      <w:r w:rsidR="00EB4771" w:rsidRPr="003859B6">
        <w:t xml:space="preserve">The direct support </w:t>
      </w:r>
      <w:r w:rsidR="000F4E7A" w:rsidRPr="003859B6">
        <w:t xml:space="preserve">currently </w:t>
      </w:r>
      <w:r w:rsidR="00EB4771" w:rsidRPr="003859B6">
        <w:t xml:space="preserve">provided by the </w:t>
      </w:r>
      <w:r w:rsidR="000F4E7A" w:rsidRPr="003859B6">
        <w:t>g</w:t>
      </w:r>
      <w:r w:rsidR="00EB4771" w:rsidRPr="003859B6">
        <w:t xml:space="preserve">overnment </w:t>
      </w:r>
      <w:r w:rsidRPr="003859B6">
        <w:t xml:space="preserve">to individual fishers and aqua-farmers </w:t>
      </w:r>
      <w:r w:rsidR="000F4E7A" w:rsidRPr="003859B6">
        <w:t>– mainly in the form of subsidies for fuel and vessel or productive equipment –</w:t>
      </w:r>
      <w:r w:rsidRPr="003859B6">
        <w:t xml:space="preserve"> </w:t>
      </w:r>
      <w:r w:rsidR="00EB4771" w:rsidRPr="003859B6">
        <w:t>with a view to increas</w:t>
      </w:r>
      <w:r w:rsidR="000F4E7A" w:rsidRPr="003859B6">
        <w:t>ing</w:t>
      </w:r>
      <w:r w:rsidR="00EB4771" w:rsidRPr="003859B6">
        <w:t xml:space="preserve"> their incomes or reduc</w:t>
      </w:r>
      <w:r w:rsidR="000F4E7A" w:rsidRPr="003859B6">
        <w:t>ing</w:t>
      </w:r>
      <w:r w:rsidR="00EB4771" w:rsidRPr="003859B6">
        <w:t xml:space="preserve"> their costs </w:t>
      </w:r>
      <w:r w:rsidR="00F129F4" w:rsidRPr="003859B6">
        <w:t>biases production incentives and increases pressure on resources</w:t>
      </w:r>
      <w:r w:rsidR="00EB4771" w:rsidRPr="003859B6">
        <w:t xml:space="preserve">. </w:t>
      </w:r>
      <w:r w:rsidR="002C5FEB" w:rsidRPr="003859B6">
        <w:t>To prevent this, it is recommended – particularly during periods of transition to more sustainable production practices – that the g</w:t>
      </w:r>
      <w:r w:rsidR="00781218" w:rsidRPr="003859B6">
        <w:t xml:space="preserve">overnment </w:t>
      </w:r>
      <w:r w:rsidR="00254333" w:rsidRPr="003859B6">
        <w:t xml:space="preserve">instead </w:t>
      </w:r>
      <w:r w:rsidR="00781218" w:rsidRPr="003859B6">
        <w:t>directly support</w:t>
      </w:r>
      <w:r w:rsidR="002C5FEB" w:rsidRPr="003859B6">
        <w:t xml:space="preserve"> livelihoods </w:t>
      </w:r>
      <w:r w:rsidR="00BC67E4" w:rsidRPr="003859B6">
        <w:t xml:space="preserve">via the provision of social safety nets that are </w:t>
      </w:r>
      <w:r w:rsidR="002C5FEB" w:rsidRPr="003859B6">
        <w:t>targeted at vulnerable households</w:t>
      </w:r>
      <w:r w:rsidRPr="003859B6">
        <w:t>,</w:t>
      </w:r>
      <w:r w:rsidR="00BC67E4" w:rsidRPr="003859B6">
        <w:t xml:space="preserve"> and help the conversion to more remunerative activities by means of education and training</w:t>
      </w:r>
      <w:r w:rsidR="002C5FEB" w:rsidRPr="003859B6">
        <w:t xml:space="preserve">. </w:t>
      </w:r>
      <w:r w:rsidR="00130A6D" w:rsidRPr="003859B6">
        <w:t>Directing public support</w:t>
      </w:r>
      <w:r w:rsidR="00B16FD7" w:rsidRPr="003859B6">
        <w:t xml:space="preserve"> </w:t>
      </w:r>
      <w:r w:rsidR="00130A6D" w:rsidRPr="003859B6">
        <w:t xml:space="preserve">to R&amp;D and infrastructure would </w:t>
      </w:r>
      <w:r w:rsidR="00BC67E4" w:rsidRPr="003859B6">
        <w:t xml:space="preserve">also </w:t>
      </w:r>
      <w:r w:rsidR="00130A6D" w:rsidRPr="003859B6">
        <w:t xml:space="preserve">favour </w:t>
      </w:r>
      <w:r w:rsidR="00EB4771" w:rsidRPr="003859B6">
        <w:t>greater value creation</w:t>
      </w:r>
      <w:r w:rsidR="00130A6D" w:rsidRPr="003859B6">
        <w:t xml:space="preserve">, while </w:t>
      </w:r>
      <w:r w:rsidR="00BC67E4" w:rsidRPr="003859B6">
        <w:t>at the same time</w:t>
      </w:r>
      <w:r w:rsidR="00130A6D" w:rsidRPr="003859B6">
        <w:t xml:space="preserve"> reducing prices for consumers </w:t>
      </w:r>
      <w:r w:rsidR="004B74CE" w:rsidRPr="003859B6">
        <w:t xml:space="preserve">– thus improving access to food, the third key objective – </w:t>
      </w:r>
      <w:r w:rsidR="00130A6D" w:rsidRPr="003859B6">
        <w:t xml:space="preserve">and increasing food availability. </w:t>
      </w:r>
      <w:r w:rsidR="00BC67E4" w:rsidRPr="003859B6">
        <w:t>Reliance on restrictive trade and investment barriers, on the other hand, supports incomes at the expense of reduced consumer access to seafood products</w:t>
      </w:r>
      <w:r w:rsidRPr="003859B6">
        <w:t>, and therefore has the potential to be counterproductive to food security in the long run.</w:t>
      </w:r>
    </w:p>
    <w:p w:rsidR="000F4E7A" w:rsidRPr="003859B6" w:rsidRDefault="000F4E7A" w:rsidP="0071480F">
      <w:pPr>
        <w:pStyle w:val="Num-DocParagraph"/>
      </w:pPr>
    </w:p>
    <w:p w:rsidR="0071480F" w:rsidRPr="003859B6" w:rsidRDefault="0071480F">
      <w:pPr>
        <w:tabs>
          <w:tab w:val="clear" w:pos="850"/>
          <w:tab w:val="clear" w:pos="1191"/>
          <w:tab w:val="clear" w:pos="1531"/>
        </w:tabs>
        <w:jc w:val="left"/>
      </w:pPr>
      <w:bookmarkStart w:id="98" w:name="_Toc472354601"/>
      <w:bookmarkStart w:id="99" w:name="_Toc472936644"/>
      <w:r w:rsidRPr="003859B6">
        <w:br w:type="page"/>
      </w:r>
    </w:p>
    <w:bookmarkEnd w:id="98"/>
    <w:bookmarkEnd w:id="99"/>
    <w:p w:rsidR="00EC626C" w:rsidRPr="003859B6" w:rsidRDefault="00EC626C" w:rsidP="009078ED">
      <w:pPr>
        <w:pStyle w:val="PartHeading"/>
      </w:pPr>
      <w:r w:rsidRPr="003859B6">
        <w:t>References</w:t>
      </w:r>
    </w:p>
    <w:p w:rsidR="00EC626C" w:rsidRPr="003859B6" w:rsidRDefault="00EC626C" w:rsidP="009078ED">
      <w:pPr>
        <w:pStyle w:val="Biblio-Entry"/>
      </w:pPr>
      <w:proofErr w:type="spellStart"/>
      <w:r w:rsidRPr="003859B6">
        <w:t>Adhuri</w:t>
      </w:r>
      <w:proofErr w:type="spellEnd"/>
      <w:r w:rsidRPr="003859B6">
        <w:t xml:space="preserve">, D. (2016), “Combining resource management and livelihood development: Some reflections from East Flores and Lombok”, </w:t>
      </w:r>
      <w:r w:rsidRPr="003859B6">
        <w:rPr>
          <w:color w:val="000000"/>
          <w:lang w:eastAsia="en-US"/>
        </w:rPr>
        <w:t xml:space="preserve">in </w:t>
      </w:r>
      <w:r w:rsidRPr="003859B6">
        <w:rPr>
          <w:i/>
          <w:color w:val="000000"/>
          <w:lang w:eastAsia="en-US"/>
        </w:rPr>
        <w:t xml:space="preserve">Proceedings of the Eighteenth Conference of the International Institute of Fisheries Economics and Trade, July 11-15 2016, Aberdeen, Scotland: Challenging </w:t>
      </w:r>
      <w:r w:rsidR="00C00BA8" w:rsidRPr="003859B6">
        <w:rPr>
          <w:i/>
          <w:color w:val="000000"/>
          <w:lang w:eastAsia="en-US"/>
        </w:rPr>
        <w:t xml:space="preserve">New Frontiers </w:t>
      </w:r>
      <w:r w:rsidRPr="003859B6">
        <w:rPr>
          <w:i/>
          <w:color w:val="000000"/>
          <w:lang w:eastAsia="en-US"/>
        </w:rPr>
        <w:t xml:space="preserve">in the </w:t>
      </w:r>
      <w:r w:rsidR="00C00BA8" w:rsidRPr="003859B6">
        <w:rPr>
          <w:i/>
          <w:color w:val="000000"/>
          <w:lang w:eastAsia="en-US"/>
        </w:rPr>
        <w:t>Global Seafood Sector</w:t>
      </w:r>
      <w:r w:rsidRPr="003859B6">
        <w:rPr>
          <w:i/>
          <w:color w:val="000000"/>
          <w:lang w:eastAsia="en-US"/>
        </w:rPr>
        <w:t xml:space="preserve">: </w:t>
      </w:r>
      <w:r w:rsidR="00C00BA8" w:rsidRPr="003859B6">
        <w:rPr>
          <w:i/>
          <w:color w:val="000000"/>
          <w:lang w:eastAsia="en-US"/>
        </w:rPr>
        <w:t xml:space="preserve">A </w:t>
      </w:r>
      <w:r w:rsidRPr="003859B6">
        <w:rPr>
          <w:i/>
          <w:color w:val="000000"/>
          <w:lang w:eastAsia="en-US"/>
        </w:rPr>
        <w:t>Northern Enlightenment</w:t>
      </w:r>
      <w:r w:rsidR="00C00BA8" w:rsidRPr="003859B6">
        <w:rPr>
          <w:color w:val="000000"/>
          <w:lang w:eastAsia="en-US"/>
        </w:rPr>
        <w:t>,</w:t>
      </w:r>
      <w:r w:rsidRPr="003859B6">
        <w:rPr>
          <w:color w:val="000000"/>
          <w:lang w:eastAsia="en-US"/>
        </w:rPr>
        <w:t xml:space="preserve"> A. L. Shriver (eds.), International Institute of Fisheries Economics and Trade (IIFET), Corvallis, Oregon, United States of America.</w:t>
      </w:r>
    </w:p>
    <w:p w:rsidR="00EC626C" w:rsidRPr="003859B6" w:rsidRDefault="00EC626C" w:rsidP="009078ED">
      <w:pPr>
        <w:pStyle w:val="Biblio-Entry"/>
      </w:pPr>
      <w:proofErr w:type="spellStart"/>
      <w:r w:rsidRPr="003859B6">
        <w:t>Arnason</w:t>
      </w:r>
      <w:proofErr w:type="spellEnd"/>
      <w:r w:rsidRPr="003859B6">
        <w:t xml:space="preserve">, R., K. Kelleher, and R. </w:t>
      </w:r>
      <w:proofErr w:type="spellStart"/>
      <w:r w:rsidRPr="003859B6">
        <w:t>Willmann</w:t>
      </w:r>
      <w:proofErr w:type="spellEnd"/>
      <w:r w:rsidRPr="003859B6">
        <w:t xml:space="preserve"> (2009), </w:t>
      </w:r>
      <w:proofErr w:type="gramStart"/>
      <w:r w:rsidRPr="003859B6">
        <w:rPr>
          <w:i/>
          <w:iCs/>
        </w:rPr>
        <w:t>The</w:t>
      </w:r>
      <w:proofErr w:type="gramEnd"/>
      <w:r w:rsidRPr="003859B6">
        <w:rPr>
          <w:i/>
          <w:iCs/>
        </w:rPr>
        <w:t xml:space="preserve"> Sunken Billions: The Economic Justification for Fisheries Reform, </w:t>
      </w:r>
      <w:r w:rsidRPr="003859B6">
        <w:t xml:space="preserve">The International Bank for Reconstruction and Development / The World Bank, Washington, D.C. </w:t>
      </w:r>
    </w:p>
    <w:p w:rsidR="00EC626C" w:rsidRPr="003859B6" w:rsidRDefault="00EC626C" w:rsidP="009078ED">
      <w:pPr>
        <w:pStyle w:val="Biblio-Entry"/>
      </w:pPr>
      <w:proofErr w:type="spellStart"/>
      <w:proofErr w:type="gramStart"/>
      <w:r w:rsidRPr="003859B6">
        <w:t>Asche</w:t>
      </w:r>
      <w:proofErr w:type="spellEnd"/>
      <w:r w:rsidRPr="003859B6">
        <w:t xml:space="preserve">, F. (2011), </w:t>
      </w:r>
      <w:r w:rsidRPr="003859B6">
        <w:rPr>
          <w:i/>
        </w:rPr>
        <w:t>Green Growth in Fisheries and Aquaculture Production and Trade</w:t>
      </w:r>
      <w:r w:rsidRPr="003859B6">
        <w:t xml:space="preserve">, OECD internal document, Paris, </w:t>
      </w:r>
      <w:hyperlink r:id="rId34" w:history="1">
        <w:r w:rsidRPr="003859B6">
          <w:rPr>
            <w:rStyle w:val="Hyperlink"/>
          </w:rPr>
          <w:t>www.oecd.org/tad/fisheries/green-growth-fisheries-aquaculture-production-trade-report.pdf</w:t>
        </w:r>
      </w:hyperlink>
      <w:r w:rsidRPr="003859B6">
        <w:t xml:space="preserve"> (accessed on 17 November 2016).</w:t>
      </w:r>
      <w:proofErr w:type="gramEnd"/>
    </w:p>
    <w:p w:rsidR="00EC626C" w:rsidRPr="003859B6" w:rsidRDefault="00EC626C" w:rsidP="009078ED">
      <w:pPr>
        <w:pStyle w:val="Biblio-Entry"/>
      </w:pPr>
      <w:r w:rsidRPr="003859B6">
        <w:t xml:space="preserve">ASEAN (2016), </w:t>
      </w:r>
      <w:r w:rsidRPr="003859B6">
        <w:rPr>
          <w:i/>
        </w:rPr>
        <w:t>Regional Report on Nutrition Security in ASEAN: Volume 1</w:t>
      </w:r>
      <w:r w:rsidRPr="003859B6">
        <w:t>, ASEAN Secretariat, Jakarta, and United Nations Children’s Fund, Bangkok.</w:t>
      </w:r>
    </w:p>
    <w:p w:rsidR="00EC626C" w:rsidRPr="003859B6" w:rsidRDefault="00EC626C" w:rsidP="009078ED">
      <w:pPr>
        <w:pStyle w:val="Biblio-Entry"/>
      </w:pPr>
      <w:proofErr w:type="gramStart"/>
      <w:r w:rsidRPr="003859B6">
        <w:t xml:space="preserve">BPS-Indonesia </w:t>
      </w:r>
      <w:proofErr w:type="spellStart"/>
      <w:r w:rsidRPr="003859B6">
        <w:t>Statistik</w:t>
      </w:r>
      <w:proofErr w:type="spellEnd"/>
      <w:r w:rsidRPr="003859B6">
        <w:t xml:space="preserve"> (2008), </w:t>
      </w:r>
      <w:proofErr w:type="spellStart"/>
      <w:r w:rsidRPr="003859B6">
        <w:rPr>
          <w:i/>
        </w:rPr>
        <w:t>Badan</w:t>
      </w:r>
      <w:proofErr w:type="spellEnd"/>
      <w:r w:rsidRPr="003859B6">
        <w:rPr>
          <w:i/>
        </w:rPr>
        <w:t xml:space="preserve"> </w:t>
      </w:r>
      <w:proofErr w:type="spellStart"/>
      <w:r w:rsidRPr="003859B6">
        <w:rPr>
          <w:i/>
        </w:rPr>
        <w:t>Pusat</w:t>
      </w:r>
      <w:proofErr w:type="spellEnd"/>
      <w:r w:rsidRPr="003859B6">
        <w:rPr>
          <w:i/>
        </w:rPr>
        <w:t xml:space="preserve"> </w:t>
      </w:r>
      <w:proofErr w:type="spellStart"/>
      <w:r w:rsidRPr="003859B6">
        <w:rPr>
          <w:i/>
        </w:rPr>
        <w:t>Statistik</w:t>
      </w:r>
      <w:proofErr w:type="spellEnd"/>
      <w:r w:rsidRPr="003859B6">
        <w:t xml:space="preserve"> (database), Statistics Indonesia, Jakarta, </w:t>
      </w:r>
      <w:hyperlink r:id="rId35" w:history="1">
        <w:r w:rsidRPr="003859B6">
          <w:rPr>
            <w:rStyle w:val="Hyperlink"/>
          </w:rPr>
          <w:t>https://www.bps.go.id/</w:t>
        </w:r>
      </w:hyperlink>
      <w:r w:rsidRPr="003859B6">
        <w:t xml:space="preserve"> (accessed on </w:t>
      </w:r>
      <w:r w:rsidR="007F5264" w:rsidRPr="003859B6">
        <w:t>12 September 2016</w:t>
      </w:r>
      <w:r w:rsidRPr="003859B6">
        <w:t>).</w:t>
      </w:r>
      <w:proofErr w:type="gramEnd"/>
    </w:p>
    <w:p w:rsidR="00EC626C" w:rsidRPr="003859B6" w:rsidRDefault="00EC626C" w:rsidP="009078ED">
      <w:pPr>
        <w:pStyle w:val="Biblio-Entry"/>
      </w:pPr>
      <w:proofErr w:type="gramStart"/>
      <w:r w:rsidRPr="003859B6">
        <w:t xml:space="preserve">Brooks, J. and A. Matthews (2015), "Trade dimensions of food security", </w:t>
      </w:r>
      <w:r w:rsidRPr="003859B6">
        <w:rPr>
          <w:rStyle w:val="Emphasis"/>
        </w:rPr>
        <w:t>OECD Food, Agriculture and Fisheries Papers</w:t>
      </w:r>
      <w:r w:rsidRPr="003859B6">
        <w:t xml:space="preserve">, No. 77, OECD Publishing, Paris, </w:t>
      </w:r>
      <w:hyperlink r:id="rId36" w:tgtFrame="_blank" w:tooltip="http://dx.doi.org/10.1787/5js65xn790nv-en" w:history="1">
        <w:r w:rsidRPr="003859B6">
          <w:rPr>
            <w:rStyle w:val="Hyperlink"/>
          </w:rPr>
          <w:t>http://dx.doi.org/10.1787/5js65xn790nv-en</w:t>
        </w:r>
      </w:hyperlink>
      <w:r w:rsidRPr="003859B6">
        <w:rPr>
          <w:rStyle w:val="Hyperlink"/>
        </w:rPr>
        <w:t>.</w:t>
      </w:r>
      <w:proofErr w:type="gramEnd"/>
      <w:r w:rsidRPr="003859B6">
        <w:rPr>
          <w:rStyle w:val="Hyperlink"/>
        </w:rPr>
        <w:t xml:space="preserve"> </w:t>
      </w:r>
    </w:p>
    <w:p w:rsidR="00EC626C" w:rsidRPr="003859B6" w:rsidRDefault="00EC626C" w:rsidP="009078ED">
      <w:pPr>
        <w:pStyle w:val="Biblio-Entry"/>
      </w:pPr>
      <w:r w:rsidRPr="003859B6">
        <w:t>Burke</w:t>
      </w:r>
      <w:r w:rsidR="00110633" w:rsidRPr="003859B6">
        <w:t>,</w:t>
      </w:r>
      <w:r w:rsidRPr="003859B6">
        <w:t xml:space="preserve"> L., K. </w:t>
      </w:r>
      <w:proofErr w:type="spellStart"/>
      <w:r w:rsidRPr="003859B6">
        <w:t>Reytar</w:t>
      </w:r>
      <w:proofErr w:type="spellEnd"/>
      <w:r w:rsidRPr="003859B6">
        <w:t xml:space="preserve">, M. Spalding and A. Perry (2011), </w:t>
      </w:r>
      <w:r w:rsidRPr="003859B6">
        <w:rPr>
          <w:i/>
        </w:rPr>
        <w:t>Reefs at Risk Revisited</w:t>
      </w:r>
      <w:r w:rsidRPr="003859B6">
        <w:t>, World Resources Institute, Washington D.C.</w:t>
      </w:r>
    </w:p>
    <w:p w:rsidR="00EC626C" w:rsidRPr="003859B6" w:rsidRDefault="00EC626C" w:rsidP="009078ED">
      <w:pPr>
        <w:pStyle w:val="Biblio-Entry"/>
      </w:pPr>
      <w:r w:rsidRPr="003859B6">
        <w:t xml:space="preserve">Cao, L., J.S. Diana, G.A. </w:t>
      </w:r>
      <w:proofErr w:type="spellStart"/>
      <w:r w:rsidRPr="003859B6">
        <w:t>Keoleian</w:t>
      </w:r>
      <w:proofErr w:type="spellEnd"/>
      <w:r w:rsidRPr="003859B6">
        <w:t xml:space="preserve"> and Q. Lai (2011), “Life cycle assessment of Chinese shrimp farming systems targeted for export and domestic sales”, </w:t>
      </w:r>
      <w:r w:rsidRPr="003859B6">
        <w:rPr>
          <w:rFonts w:eastAsiaTheme="minorHAnsi"/>
          <w:i/>
          <w:iCs/>
          <w:lang w:val="en-US" w:eastAsia="en-US"/>
        </w:rPr>
        <w:t>Environmental Science and Technology</w:t>
      </w:r>
      <w:r w:rsidRPr="003859B6">
        <w:rPr>
          <w:rFonts w:eastAsiaTheme="minorHAnsi"/>
          <w:lang w:val="en-US" w:eastAsia="en-US"/>
        </w:rPr>
        <w:t xml:space="preserve">, Vol. </w:t>
      </w:r>
      <w:r w:rsidRPr="003859B6">
        <w:rPr>
          <w:rFonts w:eastAsiaTheme="minorHAnsi"/>
          <w:iCs/>
          <w:lang w:val="en-US" w:eastAsia="en-US"/>
        </w:rPr>
        <w:t>45</w:t>
      </w:r>
      <w:r w:rsidRPr="003859B6">
        <w:rPr>
          <w:rFonts w:eastAsiaTheme="minorHAnsi"/>
          <w:lang w:val="en-US" w:eastAsia="en-US"/>
        </w:rPr>
        <w:t>/15, ASC Publications, Washington D.C., pp. 6531–6538.</w:t>
      </w:r>
    </w:p>
    <w:p w:rsidR="00EC626C" w:rsidRPr="003859B6" w:rsidRDefault="00EC626C" w:rsidP="009078ED">
      <w:pPr>
        <w:pStyle w:val="Biblio-Entry"/>
      </w:pPr>
      <w:r w:rsidRPr="003859B6">
        <w:t>CEA (2014), “Indonesia” in</w:t>
      </w:r>
      <w:r w:rsidRPr="003859B6">
        <w:rPr>
          <w:i/>
        </w:rPr>
        <w:t xml:space="preserve"> Country Scoping Project</w:t>
      </w:r>
      <w:r w:rsidRPr="003859B6">
        <w:t>, California Environmental Associates, San Francisco, United States of America.</w:t>
      </w:r>
    </w:p>
    <w:p w:rsidR="00EC626C" w:rsidRPr="003859B6" w:rsidRDefault="00EC626C" w:rsidP="009078ED">
      <w:pPr>
        <w:pStyle w:val="Biblio-Entry"/>
      </w:pPr>
      <w:r w:rsidRPr="003859B6">
        <w:t xml:space="preserve">Costello, C., D. </w:t>
      </w:r>
      <w:proofErr w:type="spellStart"/>
      <w:r w:rsidRPr="003859B6">
        <w:t>Ovando</w:t>
      </w:r>
      <w:proofErr w:type="spellEnd"/>
      <w:r w:rsidRPr="003859B6">
        <w:t xml:space="preserve">, T. </w:t>
      </w:r>
      <w:proofErr w:type="spellStart"/>
      <w:r w:rsidRPr="003859B6">
        <w:t>Clavelle</w:t>
      </w:r>
      <w:proofErr w:type="spellEnd"/>
      <w:r w:rsidRPr="003859B6">
        <w:t xml:space="preserve">, C.K. Strauss, R. </w:t>
      </w:r>
      <w:proofErr w:type="spellStart"/>
      <w:r w:rsidRPr="003859B6">
        <w:t>Hilborn</w:t>
      </w:r>
      <w:proofErr w:type="spellEnd"/>
      <w:r w:rsidRPr="003859B6">
        <w:t xml:space="preserve">, M.C. </w:t>
      </w:r>
      <w:proofErr w:type="spellStart"/>
      <w:r w:rsidRPr="003859B6">
        <w:t>Melnychuk</w:t>
      </w:r>
      <w:proofErr w:type="spellEnd"/>
      <w:r w:rsidRPr="003859B6">
        <w:t xml:space="preserve">, T.A. Branch, S.D. Gaines, C.S. </w:t>
      </w:r>
      <w:proofErr w:type="spellStart"/>
      <w:r w:rsidRPr="003859B6">
        <w:t>Szuwalski</w:t>
      </w:r>
      <w:proofErr w:type="spellEnd"/>
      <w:r w:rsidRPr="003859B6">
        <w:t xml:space="preserve">, R.B. Cabral, D.N. Rader and A. Leland (2016), “Global fishery prospects under contrasting management regimes”, </w:t>
      </w:r>
      <w:r w:rsidRPr="003859B6">
        <w:rPr>
          <w:i/>
        </w:rPr>
        <w:t>PNAS</w:t>
      </w:r>
      <w:r w:rsidRPr="003859B6">
        <w:t xml:space="preserve">, Vol. 113/18, Proceedings of the National Academy of Sciences of the United States of America, Washington D.C, pp. 5125-5129. </w:t>
      </w:r>
    </w:p>
    <w:p w:rsidR="00EC626C" w:rsidRPr="003859B6" w:rsidRDefault="00EC626C" w:rsidP="009078ED">
      <w:pPr>
        <w:pStyle w:val="Biblio-Entry"/>
        <w:rPr>
          <w:color w:val="000000"/>
          <w:lang w:eastAsia="en-US"/>
        </w:rPr>
      </w:pPr>
      <w:r w:rsidRPr="003859B6">
        <w:rPr>
          <w:lang w:eastAsia="en-US"/>
        </w:rPr>
        <w:t xml:space="preserve">DAFF (2011), </w:t>
      </w:r>
      <w:r w:rsidRPr="003859B6">
        <w:rPr>
          <w:i/>
          <w:lang w:eastAsia="en-US"/>
        </w:rPr>
        <w:t>Net Returns: A Human Capacity Development Framework for Marine Capture Fisheries Management in South East Asia</w:t>
      </w:r>
      <w:r w:rsidRPr="003859B6">
        <w:rPr>
          <w:lang w:eastAsia="en-US"/>
        </w:rPr>
        <w:t>, Department of Agriculture, Fisheries and Forestry, Canberra.</w:t>
      </w:r>
      <w:r w:rsidRPr="003859B6">
        <w:rPr>
          <w:color w:val="000000"/>
          <w:lang w:eastAsia="en-US"/>
        </w:rPr>
        <w:t xml:space="preserve"> </w:t>
      </w:r>
    </w:p>
    <w:p w:rsidR="00EC626C" w:rsidRPr="003859B6" w:rsidRDefault="00EC626C" w:rsidP="009078ED">
      <w:pPr>
        <w:pStyle w:val="Biblio-Entry"/>
        <w:rPr>
          <w:lang w:eastAsia="en-US"/>
        </w:rPr>
      </w:pPr>
      <w:r w:rsidRPr="003859B6">
        <w:rPr>
          <w:lang w:eastAsia="en-US"/>
        </w:rPr>
        <w:t xml:space="preserve">De Silva, S.S. and D. Soto (2009), “Climate change and aquaculture: Potential impacts, adaptation and mitigation”, in K. Cochrane, C. De Young, D. Soto and T. </w:t>
      </w:r>
      <w:proofErr w:type="spellStart"/>
      <w:r w:rsidRPr="003859B6">
        <w:rPr>
          <w:lang w:eastAsia="en-US"/>
        </w:rPr>
        <w:t>Bahri</w:t>
      </w:r>
      <w:proofErr w:type="spellEnd"/>
      <w:r w:rsidRPr="003859B6">
        <w:rPr>
          <w:lang w:eastAsia="en-US"/>
        </w:rPr>
        <w:t xml:space="preserve"> (</w:t>
      </w:r>
      <w:proofErr w:type="spellStart"/>
      <w:proofErr w:type="gramStart"/>
      <w:r w:rsidRPr="003859B6">
        <w:rPr>
          <w:lang w:eastAsia="en-US"/>
        </w:rPr>
        <w:t>eds</w:t>
      </w:r>
      <w:proofErr w:type="spellEnd"/>
      <w:proofErr w:type="gramEnd"/>
      <w:r w:rsidRPr="003859B6">
        <w:rPr>
          <w:lang w:eastAsia="en-US"/>
        </w:rPr>
        <w:t xml:space="preserve">). </w:t>
      </w:r>
      <w:r w:rsidRPr="003859B6">
        <w:rPr>
          <w:i/>
          <w:lang w:eastAsia="en-US"/>
        </w:rPr>
        <w:t>Climate Change Implications for Fisheries and Aquaculture: Overview of Current Scientific Knowledge</w:t>
      </w:r>
      <w:r w:rsidRPr="003859B6">
        <w:rPr>
          <w:lang w:eastAsia="en-US"/>
        </w:rPr>
        <w:t>, FAO Fisheries and Aquaculture Technical Paper No. 530, Food and Agriculture Organization, Rome.</w:t>
      </w:r>
    </w:p>
    <w:p w:rsidR="00EC626C" w:rsidRPr="003859B6" w:rsidRDefault="00EC626C" w:rsidP="009078ED">
      <w:pPr>
        <w:pStyle w:val="Num-DocParagraph"/>
        <w:spacing w:after="0"/>
      </w:pPr>
      <w:proofErr w:type="gramStart"/>
      <w:r w:rsidRPr="003859B6">
        <w:t xml:space="preserve">FAO (2016a), </w:t>
      </w:r>
      <w:r w:rsidRPr="003859B6">
        <w:rPr>
          <w:i/>
        </w:rPr>
        <w:t>Food Balance Sheet Indonesia</w:t>
      </w:r>
      <w:r w:rsidR="007F5264" w:rsidRPr="003859B6">
        <w:rPr>
          <w:i/>
        </w:rPr>
        <w:t xml:space="preserve"> </w:t>
      </w:r>
      <w:r w:rsidR="007F5264" w:rsidRPr="003859B6">
        <w:t>(database)</w:t>
      </w:r>
      <w:r w:rsidRPr="003859B6">
        <w:t>, Food and Agriculture Organization, Rome</w:t>
      </w:r>
      <w:r w:rsidR="007F5264" w:rsidRPr="003859B6">
        <w:t xml:space="preserve">, </w:t>
      </w:r>
      <w:hyperlink r:id="rId37" w:history="1">
        <w:r w:rsidR="00824953" w:rsidRPr="003859B6">
          <w:rPr>
            <w:rStyle w:val="Hyperlink"/>
          </w:rPr>
          <w:t>http://faostat.fao.org/default.aspx</w:t>
        </w:r>
      </w:hyperlink>
      <w:r w:rsidR="00824953" w:rsidRPr="003859B6">
        <w:t xml:space="preserve"> </w:t>
      </w:r>
      <w:r w:rsidR="007F5264" w:rsidRPr="003859B6">
        <w:t>(accessed on 19 September 2016)</w:t>
      </w:r>
      <w:r w:rsidRPr="003859B6">
        <w:t>.</w:t>
      </w:r>
      <w:proofErr w:type="gramEnd"/>
    </w:p>
    <w:p w:rsidR="00EC626C" w:rsidRPr="003859B6" w:rsidRDefault="00EC626C" w:rsidP="009078ED">
      <w:pPr>
        <w:pStyle w:val="Num-DocParagraph"/>
        <w:spacing w:after="0"/>
      </w:pPr>
    </w:p>
    <w:p w:rsidR="00EC626C" w:rsidRPr="003859B6" w:rsidRDefault="00EC626C" w:rsidP="009078ED">
      <w:pPr>
        <w:pStyle w:val="Num-DocParagraph"/>
        <w:spacing w:after="0"/>
      </w:pPr>
      <w:r w:rsidRPr="003859B6">
        <w:t xml:space="preserve">FAO (2016b), </w:t>
      </w:r>
      <w:r w:rsidRPr="003859B6">
        <w:rPr>
          <w:i/>
        </w:rPr>
        <w:t>The State of World Fisheries and Aquaculture 2016: Contributing to Food Security and Nutrition for All</w:t>
      </w:r>
      <w:r w:rsidRPr="003859B6">
        <w:t>, Food and Agriculture Organization, Rome.</w:t>
      </w:r>
    </w:p>
    <w:p w:rsidR="00EC626C" w:rsidRPr="003859B6" w:rsidRDefault="00EC626C" w:rsidP="009078ED">
      <w:pPr>
        <w:pStyle w:val="Num-DocParagraph"/>
        <w:spacing w:after="0"/>
      </w:pPr>
    </w:p>
    <w:p w:rsidR="00EC626C" w:rsidRPr="003859B6" w:rsidRDefault="00EC626C" w:rsidP="009078ED">
      <w:pPr>
        <w:pStyle w:val="Biblio-Entry"/>
        <w:rPr>
          <w:color w:val="000000"/>
          <w:lang w:eastAsia="en-US"/>
        </w:rPr>
      </w:pPr>
      <w:r w:rsidRPr="003859B6">
        <w:rPr>
          <w:color w:val="000000"/>
          <w:lang w:eastAsia="en-US"/>
        </w:rPr>
        <w:t xml:space="preserve">FAO (2016c), </w:t>
      </w:r>
      <w:r w:rsidRPr="003859B6">
        <w:rPr>
          <w:i/>
          <w:color w:val="000000"/>
          <w:lang w:eastAsia="en-US"/>
        </w:rPr>
        <w:t>FAOSTAT</w:t>
      </w:r>
      <w:r w:rsidRPr="003859B6">
        <w:rPr>
          <w:color w:val="000000"/>
          <w:lang w:eastAsia="en-US"/>
        </w:rPr>
        <w:t xml:space="preserve"> (database), </w:t>
      </w:r>
      <w:hyperlink r:id="rId38" w:history="1">
        <w:r w:rsidRPr="003859B6">
          <w:rPr>
            <w:rStyle w:val="Hyperlink"/>
            <w:lang w:eastAsia="en-US"/>
          </w:rPr>
          <w:t>http://faostat3.fao.org/home/E</w:t>
        </w:r>
      </w:hyperlink>
      <w:r w:rsidRPr="003859B6">
        <w:rPr>
          <w:color w:val="000000"/>
          <w:lang w:eastAsia="en-US"/>
        </w:rPr>
        <w:t xml:space="preserve"> (accessed on </w:t>
      </w:r>
      <w:r w:rsidR="007F5264" w:rsidRPr="003859B6">
        <w:rPr>
          <w:color w:val="000000"/>
          <w:lang w:eastAsia="en-US"/>
        </w:rPr>
        <w:t>19</w:t>
      </w:r>
      <w:r w:rsidRPr="003859B6">
        <w:rPr>
          <w:color w:val="000000"/>
          <w:lang w:eastAsia="en-US"/>
        </w:rPr>
        <w:t xml:space="preserve"> September 2016).</w:t>
      </w:r>
    </w:p>
    <w:p w:rsidR="00EC626C" w:rsidRPr="003859B6" w:rsidRDefault="00EC626C" w:rsidP="009078ED">
      <w:pPr>
        <w:pStyle w:val="Num-DocParagraph"/>
        <w:spacing w:after="0"/>
      </w:pPr>
      <w:r w:rsidRPr="003859B6">
        <w:t xml:space="preserve">FAO (2015), </w:t>
      </w:r>
      <w:r w:rsidRPr="003859B6">
        <w:rPr>
          <w:i/>
        </w:rPr>
        <w:t>Regional Overview of Food Insecurity Asia and the Pacific: Towards a Food Secure Asia and the Pacific</w:t>
      </w:r>
      <w:r w:rsidRPr="003859B6">
        <w:t>, Food and Agriculture Organization, Bangkok.</w:t>
      </w:r>
    </w:p>
    <w:p w:rsidR="00EC626C" w:rsidRPr="003859B6" w:rsidRDefault="00EC626C" w:rsidP="009078ED">
      <w:pPr>
        <w:pStyle w:val="Num-DocParagraph"/>
        <w:spacing w:after="0"/>
      </w:pPr>
    </w:p>
    <w:p w:rsidR="00EC626C" w:rsidRPr="003859B6" w:rsidRDefault="00EC626C" w:rsidP="009078ED">
      <w:pPr>
        <w:pStyle w:val="Biblio-Entry"/>
      </w:pPr>
      <w:proofErr w:type="gramStart"/>
      <w:r w:rsidRPr="003859B6">
        <w:rPr>
          <w:color w:val="000000"/>
          <w:lang w:eastAsia="en-US"/>
        </w:rPr>
        <w:t xml:space="preserve">FAO (2011), </w:t>
      </w:r>
      <w:r w:rsidRPr="003859B6">
        <w:rPr>
          <w:i/>
          <w:color w:val="000000"/>
          <w:lang w:eastAsia="en-US"/>
        </w:rPr>
        <w:t>Technical Guidelines on Aquaculture Certification</w:t>
      </w:r>
      <w:r w:rsidRPr="003859B6">
        <w:rPr>
          <w:color w:val="000000"/>
          <w:lang w:eastAsia="en-US"/>
        </w:rPr>
        <w:t>, Food and Agriculture Organization, Rome</w:t>
      </w:r>
      <w:r w:rsidRPr="003859B6">
        <w:t>.</w:t>
      </w:r>
      <w:proofErr w:type="gramEnd"/>
    </w:p>
    <w:p w:rsidR="007048A0" w:rsidRPr="003859B6" w:rsidRDefault="007048A0" w:rsidP="007048A0">
      <w:pPr>
        <w:pStyle w:val="Biblio-Entry"/>
        <w:rPr>
          <w:color w:val="000000"/>
          <w:lang w:eastAsia="en-US"/>
        </w:rPr>
      </w:pPr>
      <w:proofErr w:type="gramStart"/>
      <w:r w:rsidRPr="003859B6">
        <w:rPr>
          <w:color w:val="000000"/>
          <w:lang w:eastAsia="en-US"/>
        </w:rPr>
        <w:t xml:space="preserve">FAO (2003), </w:t>
      </w:r>
      <w:r w:rsidRPr="003859B6">
        <w:rPr>
          <w:i/>
          <w:color w:val="000000"/>
          <w:lang w:eastAsia="en-US"/>
        </w:rPr>
        <w:t>Fisheries Management.</w:t>
      </w:r>
      <w:proofErr w:type="gramEnd"/>
      <w:r w:rsidRPr="003859B6">
        <w:rPr>
          <w:i/>
          <w:color w:val="000000"/>
          <w:lang w:eastAsia="en-US"/>
        </w:rPr>
        <w:t xml:space="preserve"> 2. The ecosystem approach to fisheries</w:t>
      </w:r>
      <w:r w:rsidRPr="003859B6">
        <w:rPr>
          <w:color w:val="000000"/>
          <w:lang w:eastAsia="en-US"/>
        </w:rPr>
        <w:t>, FAO Technical Guidelines for Responsible Fisheries, Vol. 4, Suppl. 2 Food and Agriculture Organization, Rome.</w:t>
      </w:r>
    </w:p>
    <w:p w:rsidR="00EC626C" w:rsidRPr="003859B6" w:rsidRDefault="00EC626C" w:rsidP="009078ED">
      <w:pPr>
        <w:pStyle w:val="Biblio-Entry"/>
      </w:pPr>
      <w:r w:rsidRPr="003859B6">
        <w:t xml:space="preserve">Gutierrez, N.L., O. </w:t>
      </w:r>
      <w:proofErr w:type="spellStart"/>
      <w:r w:rsidRPr="003859B6">
        <w:t>Defeo</w:t>
      </w:r>
      <w:proofErr w:type="spellEnd"/>
      <w:r w:rsidRPr="003859B6">
        <w:t>, S.R. Bush, D.S. Butterworth,</w:t>
      </w:r>
      <w:r w:rsidR="001E019E" w:rsidRPr="003859B6">
        <w:t xml:space="preserve"> </w:t>
      </w:r>
      <w:r w:rsidRPr="003859B6">
        <w:t xml:space="preserve">C.A. </w:t>
      </w:r>
      <w:proofErr w:type="spellStart"/>
      <w:r w:rsidRPr="003859B6">
        <w:t>Roheim</w:t>
      </w:r>
      <w:proofErr w:type="spellEnd"/>
      <w:r w:rsidR="001E019E" w:rsidRPr="003859B6">
        <w:t xml:space="preserve"> and A.E Punt (2016), “</w:t>
      </w:r>
      <w:r w:rsidR="001E019E" w:rsidRPr="003859B6">
        <w:rPr>
          <w:lang w:val="en"/>
        </w:rPr>
        <w:t xml:space="preserve">The current situation and prospects of fisheries certification and </w:t>
      </w:r>
      <w:proofErr w:type="spellStart"/>
      <w:r w:rsidR="001E019E" w:rsidRPr="003859B6">
        <w:rPr>
          <w:lang w:val="en"/>
        </w:rPr>
        <w:t>ecolabelling</w:t>
      </w:r>
      <w:proofErr w:type="spellEnd"/>
      <w:r w:rsidR="001E019E" w:rsidRPr="003859B6">
        <w:rPr>
          <w:lang w:val="en"/>
        </w:rPr>
        <w:t>”</w:t>
      </w:r>
      <w:r w:rsidRPr="003859B6">
        <w:rPr>
          <w:lang w:val="en"/>
        </w:rPr>
        <w:t xml:space="preserve">, </w:t>
      </w:r>
      <w:r w:rsidRPr="003859B6">
        <w:rPr>
          <w:i/>
        </w:rPr>
        <w:t>Fisheries Research</w:t>
      </w:r>
      <w:r w:rsidRPr="003859B6">
        <w:t>, Vol. 182, pp. 1-6.</w:t>
      </w:r>
    </w:p>
    <w:p w:rsidR="00EC626C" w:rsidRPr="003859B6" w:rsidRDefault="00EC626C" w:rsidP="009078ED">
      <w:pPr>
        <w:pStyle w:val="Biblio-Entry"/>
        <w:rPr>
          <w:lang w:eastAsia="en-US"/>
        </w:rPr>
      </w:pPr>
      <w:r w:rsidRPr="003859B6">
        <w:rPr>
          <w:lang w:eastAsia="en-US"/>
        </w:rPr>
        <w:t xml:space="preserve">HLPE (2014), </w:t>
      </w:r>
      <w:r w:rsidRPr="003859B6">
        <w:rPr>
          <w:i/>
          <w:lang w:eastAsia="en-US"/>
        </w:rPr>
        <w:t>Food Losses and Waste in the Context of Sustainable Food Systems: A Report by the High Level Panel of Experts on Food Security and Nutrition</w:t>
      </w:r>
      <w:r w:rsidRPr="003859B6">
        <w:rPr>
          <w:lang w:eastAsia="en-US"/>
        </w:rPr>
        <w:t>, High Level Panel of Experts on Food Security and Nutrition,</w:t>
      </w:r>
      <w:r w:rsidRPr="003859B6">
        <w:rPr>
          <w:i/>
          <w:lang w:eastAsia="en-US"/>
        </w:rPr>
        <w:t xml:space="preserve"> </w:t>
      </w:r>
      <w:r w:rsidRPr="003859B6">
        <w:rPr>
          <w:lang w:eastAsia="en-US"/>
        </w:rPr>
        <w:t>Committee on World Food Security, Rome.</w:t>
      </w:r>
    </w:p>
    <w:p w:rsidR="00EC626C" w:rsidRPr="003859B6" w:rsidRDefault="00EC626C" w:rsidP="009078ED">
      <w:pPr>
        <w:pStyle w:val="Biblio-Entry"/>
      </w:pPr>
      <w:r w:rsidRPr="003859B6">
        <w:t xml:space="preserve"> </w:t>
      </w:r>
      <w:proofErr w:type="gramStart"/>
      <w:r w:rsidR="00D565CB" w:rsidRPr="003859B6">
        <w:t>Inside Indonesia</w:t>
      </w:r>
      <w:r w:rsidRPr="003859B6">
        <w:t xml:space="preserve"> (no date), </w:t>
      </w:r>
      <w:r w:rsidRPr="003859B6">
        <w:rPr>
          <w:i/>
        </w:rPr>
        <w:t xml:space="preserve">Aquaculture in Adversity </w:t>
      </w:r>
      <w:r w:rsidRPr="003859B6">
        <w:t xml:space="preserve">(webpage) Jakarta, </w:t>
      </w:r>
      <w:hyperlink r:id="rId39" w:history="1">
        <w:r w:rsidR="00446C1B" w:rsidRPr="003859B6">
          <w:rPr>
            <w:rStyle w:val="Hyperlink"/>
          </w:rPr>
          <w:t>http://www.insideindonesia.org/aquaculture-in-adversity</w:t>
        </w:r>
      </w:hyperlink>
      <w:r w:rsidRPr="003859B6">
        <w:t xml:space="preserve"> (accessed 12 September 2016).</w:t>
      </w:r>
      <w:proofErr w:type="gramEnd"/>
    </w:p>
    <w:p w:rsidR="00EC626C" w:rsidRPr="003859B6" w:rsidRDefault="00EC626C" w:rsidP="009078ED">
      <w:pPr>
        <w:pStyle w:val="Biblio-Entry"/>
        <w:rPr>
          <w:color w:val="000000"/>
          <w:lang w:eastAsia="en-US"/>
        </w:rPr>
      </w:pPr>
      <w:r w:rsidRPr="003859B6">
        <w:rPr>
          <w:color w:val="000000"/>
          <w:lang w:eastAsia="en-US"/>
        </w:rPr>
        <w:t xml:space="preserve">IFPRI (2014), </w:t>
      </w:r>
      <w:r w:rsidRPr="003859B6">
        <w:rPr>
          <w:i/>
          <w:color w:val="000000"/>
          <w:lang w:eastAsia="en-US"/>
        </w:rPr>
        <w:t>Global Hunger Index: The challenge of Hidden Hunger</w:t>
      </w:r>
      <w:r w:rsidRPr="003859B6">
        <w:rPr>
          <w:color w:val="000000"/>
          <w:lang w:eastAsia="en-US"/>
        </w:rPr>
        <w:t xml:space="preserve">, International Food Policy Research Institute, </w:t>
      </w:r>
      <w:proofErr w:type="spellStart"/>
      <w:r w:rsidRPr="003859B6">
        <w:rPr>
          <w:color w:val="000000"/>
          <w:lang w:eastAsia="en-US"/>
        </w:rPr>
        <w:t>Welthungerhilfe</w:t>
      </w:r>
      <w:proofErr w:type="spellEnd"/>
      <w:r w:rsidRPr="003859B6">
        <w:rPr>
          <w:color w:val="000000"/>
          <w:lang w:eastAsia="en-US"/>
        </w:rPr>
        <w:t>, and Concern Worldwide, Bonn, Washington DC and Dublin.</w:t>
      </w:r>
    </w:p>
    <w:p w:rsidR="00EC626C" w:rsidRPr="003859B6" w:rsidRDefault="00EC626C" w:rsidP="009078ED">
      <w:pPr>
        <w:pStyle w:val="Biblio-Entry"/>
        <w:rPr>
          <w:rStyle w:val="Hyperlink"/>
          <w:lang w:eastAsia="en-US"/>
        </w:rPr>
      </w:pPr>
      <w:proofErr w:type="gramStart"/>
      <w:r w:rsidRPr="003859B6">
        <w:rPr>
          <w:color w:val="000000"/>
          <w:lang w:eastAsia="en-US"/>
        </w:rPr>
        <w:t xml:space="preserve">Indonesia Investments (2016a), </w:t>
      </w:r>
      <w:r w:rsidRPr="003859B6">
        <w:rPr>
          <w:i/>
          <w:color w:val="000000"/>
          <w:lang w:eastAsia="en-US"/>
        </w:rPr>
        <w:t xml:space="preserve">Infrastructure Development in Indonesia </w:t>
      </w:r>
      <w:r w:rsidRPr="003859B6">
        <w:rPr>
          <w:color w:val="000000"/>
          <w:lang w:eastAsia="en-US"/>
        </w:rPr>
        <w:t xml:space="preserve">(webpage), </w:t>
      </w:r>
      <w:hyperlink r:id="rId40" w:history="1">
        <w:r w:rsidRPr="003859B6">
          <w:rPr>
            <w:rStyle w:val="Hyperlink"/>
            <w:lang w:eastAsia="en-US"/>
          </w:rPr>
          <w:t>www.indonesia-investments.com/business/risks/infrastructure/item381</w:t>
        </w:r>
      </w:hyperlink>
      <w:r w:rsidRPr="003859B6">
        <w:rPr>
          <w:rStyle w:val="Hyperlink"/>
          <w:lang w:eastAsia="en-US"/>
        </w:rPr>
        <w:t xml:space="preserve"> (accessed on 10 October 2016).</w:t>
      </w:r>
      <w:proofErr w:type="gramEnd"/>
    </w:p>
    <w:p w:rsidR="00EC626C" w:rsidRPr="003859B6" w:rsidRDefault="00EC626C" w:rsidP="009078ED">
      <w:pPr>
        <w:pStyle w:val="Num-DocParagraph"/>
      </w:pPr>
      <w:proofErr w:type="gramStart"/>
      <w:r w:rsidRPr="003859B6">
        <w:rPr>
          <w:color w:val="000000"/>
          <w:lang w:eastAsia="en-US"/>
        </w:rPr>
        <w:t>Indonesia Investments (2016b)</w:t>
      </w:r>
      <w:r w:rsidRPr="003859B6">
        <w:t xml:space="preserve">, </w:t>
      </w:r>
      <w:r w:rsidRPr="003859B6">
        <w:rPr>
          <w:i/>
        </w:rPr>
        <w:t xml:space="preserve">Poverty in Indonesia </w:t>
      </w:r>
      <w:r w:rsidRPr="003859B6">
        <w:t xml:space="preserve">(webpage), </w:t>
      </w:r>
      <w:hyperlink r:id="rId41" w:history="1">
        <w:r w:rsidRPr="003859B6">
          <w:rPr>
            <w:rStyle w:val="Hyperlink"/>
          </w:rPr>
          <w:t>www.indonesia-investments.com/finance/macroeconomic-indicators/poverty/item301</w:t>
        </w:r>
      </w:hyperlink>
      <w:r w:rsidRPr="003859B6">
        <w:t xml:space="preserve"> (accessed on 8 November 2016).</w:t>
      </w:r>
      <w:proofErr w:type="gramEnd"/>
      <w:r w:rsidRPr="003859B6">
        <w:t xml:space="preserve"> </w:t>
      </w:r>
    </w:p>
    <w:p w:rsidR="00EC626C" w:rsidRPr="003859B6" w:rsidRDefault="00EC626C" w:rsidP="009078ED">
      <w:pPr>
        <w:pStyle w:val="Biblio-Entry"/>
        <w:rPr>
          <w:lang w:eastAsia="en-US"/>
        </w:rPr>
      </w:pPr>
      <w:r w:rsidRPr="003859B6">
        <w:rPr>
          <w:color w:val="000000"/>
          <w:lang w:eastAsia="en-US"/>
        </w:rPr>
        <w:t xml:space="preserve">Indonesia Investments (2014), </w:t>
      </w:r>
      <w:r w:rsidRPr="003859B6">
        <w:rPr>
          <w:i/>
          <w:color w:val="000000"/>
          <w:lang w:eastAsia="en-US"/>
        </w:rPr>
        <w:t>Export Target of Indonesia’s Fishery Sector Revised on Weak Demand</w:t>
      </w:r>
      <w:r w:rsidRPr="003859B6">
        <w:rPr>
          <w:color w:val="000000"/>
          <w:lang w:eastAsia="en-US"/>
        </w:rPr>
        <w:t xml:space="preserve"> (webpage), 28 March 2014, </w:t>
      </w:r>
      <w:hyperlink r:id="rId42" w:history="1">
        <w:r w:rsidRPr="003859B6">
          <w:rPr>
            <w:rStyle w:val="Hyperlink"/>
            <w:lang w:eastAsia="en-US"/>
          </w:rPr>
          <w:t>www.indonesia-investments.com/news/todays-headlines/export-target-of-indonesias-fishery-sector-revised-on-weak-global-demand/item1816K</w:t>
        </w:r>
      </w:hyperlink>
      <w:r w:rsidRPr="003859B6">
        <w:rPr>
          <w:lang w:eastAsia="en-US"/>
        </w:rPr>
        <w:t xml:space="preserve"> (accessed on 10 October 2016).</w:t>
      </w:r>
    </w:p>
    <w:p w:rsidR="00EC626C" w:rsidRPr="003859B6" w:rsidRDefault="00EC626C" w:rsidP="009078ED">
      <w:pPr>
        <w:pStyle w:val="Biblio-Entry"/>
      </w:pPr>
      <w:proofErr w:type="spellStart"/>
      <w:r w:rsidRPr="003859B6">
        <w:t>Koeshendrajana</w:t>
      </w:r>
      <w:proofErr w:type="spellEnd"/>
      <w:r w:rsidRPr="003859B6">
        <w:t xml:space="preserve">, S. (2016), </w:t>
      </w:r>
      <w:r w:rsidRPr="003859B6">
        <w:rPr>
          <w:i/>
        </w:rPr>
        <w:t>Profiles of Indonesian Fisheries: Future Supply and Demand Scenarios of Fish in ASEAN Region</w:t>
      </w:r>
      <w:r w:rsidRPr="003859B6">
        <w:t xml:space="preserve">, Stakeholder Workshop, Penang, 7-8 June 2016, WorldFish, </w:t>
      </w:r>
      <w:proofErr w:type="gramStart"/>
      <w:r w:rsidRPr="003859B6">
        <w:t>Penang</w:t>
      </w:r>
      <w:proofErr w:type="gramEnd"/>
      <w:r w:rsidRPr="003859B6">
        <w:t>, Malaysia.</w:t>
      </w:r>
    </w:p>
    <w:p w:rsidR="00EC626C" w:rsidRPr="003859B6" w:rsidRDefault="00EC626C" w:rsidP="009078ED">
      <w:pPr>
        <w:pStyle w:val="Biblio-Entry"/>
      </w:pPr>
      <w:proofErr w:type="spellStart"/>
      <w:proofErr w:type="gramStart"/>
      <w:r w:rsidRPr="003859B6">
        <w:t>Kusumawati</w:t>
      </w:r>
      <w:proofErr w:type="spellEnd"/>
      <w:r w:rsidRPr="003859B6">
        <w:t xml:space="preserve">, R. and S.R. Bush (2015), “Co-producing better management practice standards for shrimp aquaculture in Indonesia”, </w:t>
      </w:r>
      <w:r w:rsidRPr="003859B6">
        <w:rPr>
          <w:i/>
        </w:rPr>
        <w:t>Maritime Studies</w:t>
      </w:r>
      <w:r w:rsidRPr="003859B6">
        <w:t>, Vol. 14/21, Springer, London.</w:t>
      </w:r>
      <w:proofErr w:type="gramEnd"/>
    </w:p>
    <w:p w:rsidR="00EC626C" w:rsidRPr="003859B6" w:rsidRDefault="00EC626C" w:rsidP="009078ED">
      <w:pPr>
        <w:pStyle w:val="Biblio-Entry"/>
      </w:pPr>
      <w:r w:rsidRPr="003859B6">
        <w:t xml:space="preserve">MMAF (2016), Information received from Ministry of Marine Affairs and Fisheries, Jakarta. </w:t>
      </w:r>
    </w:p>
    <w:p w:rsidR="00EC626C" w:rsidRPr="003859B6" w:rsidRDefault="00EC626C" w:rsidP="009078ED">
      <w:pPr>
        <w:pStyle w:val="Biblio-Entry"/>
        <w:rPr>
          <w:lang w:eastAsia="en-US"/>
        </w:rPr>
      </w:pPr>
      <w:r w:rsidRPr="003859B6">
        <w:rPr>
          <w:lang w:eastAsia="en-US"/>
        </w:rPr>
        <w:t xml:space="preserve">MMAF (2015), </w:t>
      </w:r>
      <w:proofErr w:type="spellStart"/>
      <w:r w:rsidRPr="003859B6">
        <w:rPr>
          <w:i/>
          <w:lang w:eastAsia="en-US"/>
        </w:rPr>
        <w:t>Statistik</w:t>
      </w:r>
      <w:proofErr w:type="spellEnd"/>
      <w:r w:rsidRPr="003859B6">
        <w:rPr>
          <w:i/>
          <w:lang w:eastAsia="en-US"/>
        </w:rPr>
        <w:t xml:space="preserve"> </w:t>
      </w:r>
      <w:proofErr w:type="spellStart"/>
      <w:r w:rsidRPr="003859B6">
        <w:rPr>
          <w:i/>
          <w:lang w:eastAsia="en-US"/>
        </w:rPr>
        <w:t>Perikanan</w:t>
      </w:r>
      <w:proofErr w:type="spellEnd"/>
      <w:r w:rsidRPr="003859B6">
        <w:rPr>
          <w:i/>
          <w:lang w:eastAsia="en-US"/>
        </w:rPr>
        <w:t xml:space="preserve"> </w:t>
      </w:r>
      <w:proofErr w:type="spellStart"/>
      <w:r w:rsidRPr="003859B6">
        <w:rPr>
          <w:i/>
          <w:lang w:eastAsia="en-US"/>
        </w:rPr>
        <w:t>Tangkap</w:t>
      </w:r>
      <w:proofErr w:type="spellEnd"/>
      <w:r w:rsidRPr="003859B6">
        <w:rPr>
          <w:i/>
          <w:lang w:eastAsia="en-US"/>
        </w:rPr>
        <w:t xml:space="preserve"> Indonesia </w:t>
      </w:r>
      <w:proofErr w:type="spellStart"/>
      <w:r w:rsidRPr="003859B6">
        <w:rPr>
          <w:i/>
          <w:lang w:eastAsia="en-US"/>
        </w:rPr>
        <w:t>Menurut</w:t>
      </w:r>
      <w:proofErr w:type="spellEnd"/>
      <w:r w:rsidRPr="003859B6">
        <w:rPr>
          <w:i/>
          <w:lang w:eastAsia="en-US"/>
        </w:rPr>
        <w:t xml:space="preserve"> </w:t>
      </w:r>
      <w:proofErr w:type="spellStart"/>
      <w:r w:rsidRPr="003859B6">
        <w:rPr>
          <w:i/>
          <w:lang w:eastAsia="en-US"/>
        </w:rPr>
        <w:t>Provinsi</w:t>
      </w:r>
      <w:proofErr w:type="spellEnd"/>
      <w:r w:rsidRPr="003859B6">
        <w:rPr>
          <w:i/>
          <w:lang w:eastAsia="en-US"/>
        </w:rPr>
        <w:t xml:space="preserve"> 2015: Capture Fisheries Statistics of Indonesia by Province, </w:t>
      </w:r>
      <w:r w:rsidRPr="003859B6">
        <w:rPr>
          <w:lang w:eastAsia="en-US"/>
        </w:rPr>
        <w:t>Directorate General of Capture Fisheries, Ministry of Marine Affairs and Fisheries, Jakarta.</w:t>
      </w:r>
    </w:p>
    <w:p w:rsidR="00EC626C" w:rsidRPr="003859B6" w:rsidRDefault="00EC626C" w:rsidP="009078ED">
      <w:pPr>
        <w:pStyle w:val="Biblio-Entry"/>
      </w:pPr>
      <w:proofErr w:type="spellStart"/>
      <w:r w:rsidRPr="003859B6">
        <w:t>Noegroho</w:t>
      </w:r>
      <w:proofErr w:type="spellEnd"/>
      <w:r w:rsidRPr="003859B6">
        <w:t xml:space="preserve"> A. (2016), </w:t>
      </w:r>
      <w:r w:rsidRPr="003859B6">
        <w:rPr>
          <w:i/>
        </w:rPr>
        <w:t>Improving Traceability and Chain of Custody to Meet Market and Export Requirement</w:t>
      </w:r>
      <w:r w:rsidRPr="003859B6">
        <w:t>, Second Bali Tuna Conference, Denpasar, Indonesia, 19 May 2016.</w:t>
      </w:r>
      <w:r w:rsidRPr="003859B6" w:rsidDel="0067579B">
        <w:t xml:space="preserve"> </w:t>
      </w:r>
    </w:p>
    <w:p w:rsidR="00DC53AB" w:rsidRPr="003859B6" w:rsidRDefault="00DC53AB" w:rsidP="00DC53AB">
      <w:pPr>
        <w:pStyle w:val="Biblio-Entry"/>
      </w:pPr>
      <w:r w:rsidRPr="003859B6">
        <w:t>OECD (</w:t>
      </w:r>
      <w:r w:rsidR="00D24B88" w:rsidRPr="003859B6">
        <w:t>2017</w:t>
      </w:r>
      <w:r w:rsidRPr="003859B6">
        <w:t xml:space="preserve">), “Fisheries Support Estimate”, </w:t>
      </w:r>
      <w:r w:rsidRPr="003859B6">
        <w:rPr>
          <w:i/>
        </w:rPr>
        <w:t>Economic Indicators for Agriculture and Fisheries</w:t>
      </w:r>
      <w:r w:rsidRPr="003859B6">
        <w:t xml:space="preserve"> (database), </w:t>
      </w:r>
      <w:hyperlink r:id="rId43" w:history="1">
        <w:r w:rsidRPr="003859B6">
          <w:rPr>
            <w:rStyle w:val="Hyperlink"/>
          </w:rPr>
          <w:t>https://stats.oecd.org/Index.aspx?DataSetCode=FISH_FSE</w:t>
        </w:r>
      </w:hyperlink>
      <w:r w:rsidRPr="003859B6">
        <w:t xml:space="preserve"> </w:t>
      </w:r>
      <w:r w:rsidR="006602F2" w:rsidRPr="003859B6">
        <w:t>(data will be accessible in Q2 2017)</w:t>
      </w:r>
      <w:r w:rsidRPr="003859B6">
        <w:t xml:space="preserve">. </w:t>
      </w:r>
    </w:p>
    <w:p w:rsidR="00EC626C" w:rsidRPr="003859B6" w:rsidRDefault="00EC626C" w:rsidP="009078ED">
      <w:pPr>
        <w:shd w:val="clear" w:color="auto" w:fill="FFFFFF"/>
        <w:ind w:right="45"/>
      </w:pPr>
      <w:proofErr w:type="gramStart"/>
      <w:r w:rsidRPr="003859B6">
        <w:t xml:space="preserve">OECD (2016a), </w:t>
      </w:r>
      <w:r w:rsidRPr="003859B6">
        <w:rPr>
          <w:i/>
        </w:rPr>
        <w:t>Indonesia Country Study, Review of Fisheries 2015</w:t>
      </w:r>
      <w:r w:rsidRPr="003859B6">
        <w:t xml:space="preserve">, OECD Publishing, Paris, </w:t>
      </w:r>
      <w:hyperlink r:id="rId44" w:history="1">
        <w:r w:rsidRPr="003859B6">
          <w:rPr>
            <w:rStyle w:val="Hyperlink"/>
          </w:rPr>
          <w:t>http://dx.doi.org/10.1787/rev_fish_stat_en-2015-en</w:t>
        </w:r>
      </w:hyperlink>
      <w:r w:rsidRPr="003859B6">
        <w:rPr>
          <w:rStyle w:val="Hyperlink"/>
        </w:rPr>
        <w:t>.</w:t>
      </w:r>
      <w:proofErr w:type="gramEnd"/>
      <w:r w:rsidRPr="003859B6">
        <w:t xml:space="preserve"> </w:t>
      </w:r>
    </w:p>
    <w:p w:rsidR="00446C1B" w:rsidRPr="003859B6" w:rsidRDefault="00446C1B" w:rsidP="009078ED">
      <w:pPr>
        <w:shd w:val="clear" w:color="auto" w:fill="FFFFFF"/>
        <w:ind w:right="45"/>
      </w:pPr>
    </w:p>
    <w:p w:rsidR="00EC626C" w:rsidRPr="003859B6" w:rsidRDefault="00EC626C" w:rsidP="009078ED">
      <w:pPr>
        <w:shd w:val="clear" w:color="auto" w:fill="FFFFFF"/>
        <w:ind w:right="45"/>
      </w:pPr>
      <w:r w:rsidRPr="003859B6">
        <w:t>OECD (2016</w:t>
      </w:r>
      <w:r w:rsidR="00DC53AB" w:rsidRPr="003859B6">
        <w:t>b</w:t>
      </w:r>
      <w:r w:rsidRPr="003859B6">
        <w:t xml:space="preserve">), </w:t>
      </w:r>
      <w:r w:rsidRPr="003859B6">
        <w:rPr>
          <w:i/>
        </w:rPr>
        <w:t>Managing Food Security Through Agriculture-Related Policies: A Stocktake of Measures Applied in ASEAN</w:t>
      </w:r>
      <w:r w:rsidRPr="003859B6">
        <w:t>, OECD internal document</w:t>
      </w:r>
      <w:r w:rsidR="00B65766" w:rsidRPr="003859B6">
        <w:t xml:space="preserve">, </w:t>
      </w:r>
      <w:r w:rsidR="00B65766" w:rsidRPr="003859B6">
        <w:rPr>
          <w:u w:val="single"/>
        </w:rPr>
        <w:t>TAD/CA/APM/</w:t>
      </w:r>
      <w:proofErr w:type="gramStart"/>
      <w:r w:rsidR="00B65766" w:rsidRPr="003859B6">
        <w:rPr>
          <w:u w:val="single"/>
        </w:rPr>
        <w:t>WP(</w:t>
      </w:r>
      <w:proofErr w:type="gramEnd"/>
      <w:r w:rsidR="00B65766" w:rsidRPr="003859B6">
        <w:rPr>
          <w:u w:val="single"/>
        </w:rPr>
        <w:t>2015)31/FINAL</w:t>
      </w:r>
      <w:r w:rsidRPr="003859B6">
        <w:t>.</w:t>
      </w:r>
    </w:p>
    <w:p w:rsidR="00EC626C" w:rsidRPr="003859B6" w:rsidRDefault="00EC626C" w:rsidP="009078ED">
      <w:pPr>
        <w:shd w:val="clear" w:color="auto" w:fill="FFFFFF"/>
        <w:ind w:right="45"/>
      </w:pPr>
    </w:p>
    <w:p w:rsidR="00EC626C" w:rsidRPr="003859B6" w:rsidRDefault="00EC626C" w:rsidP="009078ED">
      <w:pPr>
        <w:pStyle w:val="Biblio-Entry"/>
      </w:pPr>
      <w:proofErr w:type="gramStart"/>
      <w:r w:rsidRPr="003859B6">
        <w:t xml:space="preserve">OECD (2015), </w:t>
      </w:r>
      <w:r w:rsidRPr="003859B6">
        <w:rPr>
          <w:i/>
        </w:rPr>
        <w:t>Green Growth in Fisheries and Aquaculture</w:t>
      </w:r>
      <w:r w:rsidRPr="003859B6">
        <w:t xml:space="preserve">, OECD Green Growth Studies, OECD Publishing, Paris, </w:t>
      </w:r>
      <w:hyperlink r:id="rId45" w:tgtFrame="_blank" w:tooltip="http://dx.doi.org/10.1787/9789264232143-en" w:history="1">
        <w:r w:rsidRPr="003859B6">
          <w:rPr>
            <w:color w:val="0000FF"/>
            <w:u w:val="single"/>
            <w:lang w:val="en"/>
          </w:rPr>
          <w:t>http://dx.doi.org/10.1787/9789264232143-en</w:t>
        </w:r>
      </w:hyperlink>
      <w:r w:rsidRPr="003859B6">
        <w:t>.</w:t>
      </w:r>
      <w:proofErr w:type="gramEnd"/>
    </w:p>
    <w:p w:rsidR="00EC626C" w:rsidRPr="003859B6" w:rsidRDefault="00EC626C" w:rsidP="009078ED">
      <w:pPr>
        <w:pStyle w:val="Biblio-Entry"/>
      </w:pPr>
      <w:r w:rsidRPr="003859B6">
        <w:t xml:space="preserve">OECD (2014), </w:t>
      </w:r>
      <w:r w:rsidRPr="003859B6">
        <w:rPr>
          <w:i/>
        </w:rPr>
        <w:t>Fishing for Development – Background Paper for Session 2: Rebuilding</w:t>
      </w:r>
      <w:r w:rsidRPr="003859B6">
        <w:t xml:space="preserve">. </w:t>
      </w:r>
      <w:proofErr w:type="gramStart"/>
      <w:r w:rsidRPr="003859B6">
        <w:t>Joint meeting of the OECD Fisheries and Development Assistance Committees, the Food and Agriculture Organization of the United Nations and the World Bank, OECD, Paris, 10-11 April, 2014.</w:t>
      </w:r>
      <w:proofErr w:type="gramEnd"/>
    </w:p>
    <w:p w:rsidR="00EC626C" w:rsidRPr="003859B6" w:rsidRDefault="00EC626C" w:rsidP="009078ED">
      <w:pPr>
        <w:pStyle w:val="Biblio-Entry"/>
      </w:pPr>
      <w:r w:rsidRPr="003859B6">
        <w:t>OECD (2013), </w:t>
      </w:r>
      <w:r w:rsidRPr="003859B6">
        <w:rPr>
          <w:rStyle w:val="Emphasis"/>
        </w:rPr>
        <w:t>Global Food Security: Challenges for the Food and Agricultural System</w:t>
      </w:r>
      <w:r w:rsidRPr="003859B6">
        <w:rPr>
          <w:i/>
        </w:rPr>
        <w:t>,</w:t>
      </w:r>
      <w:r w:rsidRPr="003859B6">
        <w:t xml:space="preserve"> OECD Publishing, Paris, </w:t>
      </w:r>
      <w:hyperlink r:id="rId46" w:history="1">
        <w:r w:rsidRPr="003859B6">
          <w:rPr>
            <w:rStyle w:val="Hyperlink"/>
          </w:rPr>
          <w:t>http://dx.doi.org/10.1787/9789264195363</w:t>
        </w:r>
      </w:hyperlink>
      <w:r w:rsidRPr="003859B6">
        <w:t>.</w:t>
      </w:r>
    </w:p>
    <w:p w:rsidR="00FD36E0" w:rsidRPr="003859B6" w:rsidRDefault="00FD36E0" w:rsidP="00FD36E0">
      <w:pPr>
        <w:pStyle w:val="Biblio-Entry"/>
      </w:pPr>
      <w:r w:rsidRPr="003859B6">
        <w:t>OECD (2011), </w:t>
      </w:r>
      <w:r w:rsidRPr="003859B6">
        <w:rPr>
          <w:rStyle w:val="Emphasis"/>
        </w:rPr>
        <w:t>Fisheries and Aquaculture Certification</w:t>
      </w:r>
      <w:r w:rsidRPr="003859B6">
        <w:t xml:space="preserve">, OECD Publishing, Paris, </w:t>
      </w:r>
      <w:hyperlink r:id="rId47" w:tgtFrame="_blank" w:tooltip="http://dx.doi.org/10.1787/9789264119680-en" w:history="1">
        <w:r w:rsidRPr="003859B6">
          <w:rPr>
            <w:rStyle w:val="Hyperlink"/>
          </w:rPr>
          <w:t>http://dx.doi.org/10.1787/9789264119680-en</w:t>
        </w:r>
      </w:hyperlink>
      <w:r w:rsidRPr="003859B6">
        <w:t xml:space="preserve"> </w:t>
      </w:r>
    </w:p>
    <w:p w:rsidR="00EC626C" w:rsidRPr="003859B6" w:rsidRDefault="00EC626C" w:rsidP="009078ED">
      <w:pPr>
        <w:pStyle w:val="Biblio-Entry"/>
      </w:pPr>
      <w:proofErr w:type="gramStart"/>
      <w:r w:rsidRPr="003859B6">
        <w:t xml:space="preserve">OECD/FAO (2016), </w:t>
      </w:r>
      <w:r w:rsidRPr="003859B6">
        <w:rPr>
          <w:i/>
        </w:rPr>
        <w:t>OECD-FAO Agricultural Outlook 2016-2025</w:t>
      </w:r>
      <w:r w:rsidRPr="003859B6">
        <w:t xml:space="preserve">, OECD Publishing, Paris, </w:t>
      </w:r>
      <w:hyperlink r:id="rId48" w:history="1">
        <w:r w:rsidRPr="003859B6">
          <w:rPr>
            <w:rStyle w:val="Hyperlink"/>
          </w:rPr>
          <w:t>http://dx.doi.org/10.1787/agr_outlook-2016-en</w:t>
        </w:r>
      </w:hyperlink>
      <w:r w:rsidRPr="003859B6">
        <w:t>.</w:t>
      </w:r>
      <w:proofErr w:type="gramEnd"/>
      <w:r w:rsidRPr="003859B6">
        <w:t xml:space="preserve"> </w:t>
      </w:r>
    </w:p>
    <w:p w:rsidR="00EC626C" w:rsidRPr="003859B6" w:rsidRDefault="00EC626C" w:rsidP="009078ED">
      <w:pPr>
        <w:pStyle w:val="Biblio-Entry"/>
      </w:pPr>
      <w:proofErr w:type="spellStart"/>
      <w:r w:rsidRPr="003859B6">
        <w:t>Pauly</w:t>
      </w:r>
      <w:proofErr w:type="spellEnd"/>
      <w:r w:rsidRPr="003859B6">
        <w:t xml:space="preserve">, D. and V. </w:t>
      </w:r>
      <w:proofErr w:type="spellStart"/>
      <w:r w:rsidRPr="003859B6">
        <w:t>Budimartono</w:t>
      </w:r>
      <w:proofErr w:type="spellEnd"/>
      <w:r w:rsidRPr="003859B6">
        <w:t xml:space="preserve"> (eds.) (2015), </w:t>
      </w:r>
      <w:r w:rsidRPr="003859B6">
        <w:rPr>
          <w:i/>
        </w:rPr>
        <w:t>Marine Fisheries Catches of Western, Central and Eastern Indonesia, 1950-2010</w:t>
      </w:r>
      <w:r w:rsidRPr="003859B6">
        <w:t>, Working Paper No. 2015-61, University of British Columbia, Vancouver, Canada.</w:t>
      </w:r>
    </w:p>
    <w:p w:rsidR="00EC626C" w:rsidRPr="003859B6" w:rsidRDefault="00EC626C" w:rsidP="009078ED">
      <w:pPr>
        <w:pStyle w:val="Biblio-Entry"/>
      </w:pPr>
      <w:proofErr w:type="gramStart"/>
      <w:r w:rsidRPr="003859B6">
        <w:t xml:space="preserve">Phillips, M., P.J.G. </w:t>
      </w:r>
      <w:proofErr w:type="spellStart"/>
      <w:r w:rsidRPr="003859B6">
        <w:t>Henriksson</w:t>
      </w:r>
      <w:proofErr w:type="spellEnd"/>
      <w:r w:rsidRPr="003859B6">
        <w:t>, N. Tran, C.Y. Chan, C.V. Mohan, U-P.</w:t>
      </w:r>
      <w:proofErr w:type="gramEnd"/>
      <w:r w:rsidRPr="003859B6">
        <w:t xml:space="preserve"> Rodriquez, S. </w:t>
      </w:r>
      <w:proofErr w:type="spellStart"/>
      <w:r w:rsidRPr="003859B6">
        <w:t>Suri</w:t>
      </w:r>
      <w:proofErr w:type="spellEnd"/>
      <w:r w:rsidRPr="003859B6">
        <w:t xml:space="preserve">, </w:t>
      </w:r>
      <w:proofErr w:type="gramStart"/>
      <w:r w:rsidRPr="003859B6">
        <w:t>S</w:t>
      </w:r>
      <w:proofErr w:type="gramEnd"/>
      <w:r w:rsidRPr="003859B6">
        <w:t xml:space="preserve">. Hall, and S. </w:t>
      </w:r>
      <w:proofErr w:type="spellStart"/>
      <w:r w:rsidRPr="003859B6">
        <w:t>Koeshendrajana</w:t>
      </w:r>
      <w:proofErr w:type="spellEnd"/>
      <w:r w:rsidRPr="003859B6">
        <w:t xml:space="preserve"> (2015), </w:t>
      </w:r>
      <w:r w:rsidRPr="003859B6">
        <w:rPr>
          <w:i/>
        </w:rPr>
        <w:t>Program Report: 2015-39</w:t>
      </w:r>
      <w:r w:rsidRPr="003859B6">
        <w:t>, WorldFish, Penang, Malaysia.</w:t>
      </w:r>
    </w:p>
    <w:p w:rsidR="00EC626C" w:rsidRPr="003859B6" w:rsidRDefault="00EC626C" w:rsidP="009078ED">
      <w:pPr>
        <w:pStyle w:val="Num-DocParagraph"/>
      </w:pPr>
      <w:r w:rsidRPr="003859B6">
        <w:t xml:space="preserve">Potts, J., A. </w:t>
      </w:r>
      <w:proofErr w:type="spellStart"/>
      <w:r w:rsidRPr="003859B6">
        <w:t>Wilkings</w:t>
      </w:r>
      <w:proofErr w:type="spellEnd"/>
      <w:r w:rsidRPr="003859B6">
        <w:t xml:space="preserve">, M. Lynch, S. </w:t>
      </w:r>
      <w:proofErr w:type="spellStart"/>
      <w:r w:rsidRPr="003859B6">
        <w:t>McFatridge</w:t>
      </w:r>
      <w:proofErr w:type="spellEnd"/>
      <w:r w:rsidRPr="003859B6">
        <w:t xml:space="preserve"> (2016), </w:t>
      </w:r>
      <w:r w:rsidRPr="003859B6">
        <w:rPr>
          <w:i/>
        </w:rPr>
        <w:t>State of Sustainability Initiatives Review: Standards and the Blue Economy</w:t>
      </w:r>
      <w:r w:rsidRPr="003859B6">
        <w:t>, International Institute for Sustainable Development (IISD), Manitoba, Canada.</w:t>
      </w:r>
    </w:p>
    <w:p w:rsidR="00EC626C" w:rsidRPr="003859B6" w:rsidRDefault="00EC626C" w:rsidP="009078ED">
      <w:pPr>
        <w:pStyle w:val="Biblio-Entry"/>
      </w:pPr>
      <w:proofErr w:type="spellStart"/>
      <w:r w:rsidRPr="003859B6">
        <w:t>Rana</w:t>
      </w:r>
      <w:proofErr w:type="spellEnd"/>
      <w:r w:rsidRPr="003859B6">
        <w:t xml:space="preserve">, K.J. S. </w:t>
      </w:r>
      <w:proofErr w:type="spellStart"/>
      <w:r w:rsidRPr="003859B6">
        <w:t>Siriwardena</w:t>
      </w:r>
      <w:proofErr w:type="spellEnd"/>
      <w:r w:rsidRPr="003859B6">
        <w:t xml:space="preserve"> and M.R. Hasan, (2009), </w:t>
      </w:r>
      <w:r w:rsidRPr="003859B6">
        <w:rPr>
          <w:i/>
        </w:rPr>
        <w:t xml:space="preserve">Impact of Rising Feed Ingredient Prices on </w:t>
      </w:r>
      <w:proofErr w:type="spellStart"/>
      <w:r w:rsidRPr="003859B6">
        <w:rPr>
          <w:i/>
        </w:rPr>
        <w:t>Aquafeeds</w:t>
      </w:r>
      <w:proofErr w:type="spellEnd"/>
      <w:r w:rsidRPr="003859B6">
        <w:rPr>
          <w:i/>
        </w:rPr>
        <w:t xml:space="preserve"> and Aquaculture Production</w:t>
      </w:r>
      <w:r w:rsidRPr="003859B6">
        <w:t>, Fisheries and Aquaculture Technical Paper No. 541, Food and Agriculture Organization, Rome.</w:t>
      </w:r>
    </w:p>
    <w:p w:rsidR="00EC626C" w:rsidRPr="003859B6" w:rsidRDefault="00EC626C" w:rsidP="009078ED">
      <w:pPr>
        <w:pStyle w:val="Biblio-Entry"/>
      </w:pPr>
      <w:proofErr w:type="spellStart"/>
      <w:proofErr w:type="gramStart"/>
      <w:r w:rsidRPr="003859B6">
        <w:t>Rimmer</w:t>
      </w:r>
      <w:proofErr w:type="spellEnd"/>
      <w:r w:rsidRPr="003859B6">
        <w:t xml:space="preserve">, M.A., K. </w:t>
      </w:r>
      <w:proofErr w:type="spellStart"/>
      <w:r w:rsidRPr="003859B6">
        <w:t>Sugama</w:t>
      </w:r>
      <w:proofErr w:type="spellEnd"/>
      <w:r w:rsidRPr="003859B6">
        <w:t xml:space="preserve">, D. </w:t>
      </w:r>
      <w:proofErr w:type="spellStart"/>
      <w:r w:rsidRPr="003859B6">
        <w:t>Rakhmawati</w:t>
      </w:r>
      <w:proofErr w:type="spellEnd"/>
      <w:r w:rsidRPr="003859B6">
        <w:t xml:space="preserve">, R. </w:t>
      </w:r>
      <w:proofErr w:type="spellStart"/>
      <w:r w:rsidRPr="003859B6">
        <w:t>Rofiq</w:t>
      </w:r>
      <w:proofErr w:type="spellEnd"/>
      <w:r w:rsidRPr="003859B6">
        <w:t xml:space="preserve"> and R.H. </w:t>
      </w:r>
      <w:proofErr w:type="spellStart"/>
      <w:r w:rsidRPr="003859B6">
        <w:t>Habgood</w:t>
      </w:r>
      <w:proofErr w:type="spellEnd"/>
      <w:r w:rsidRPr="003859B6">
        <w:t xml:space="preserve"> (2013), “A review and SWOT analysis of aquaculture development in Indonesia”, </w:t>
      </w:r>
      <w:r w:rsidRPr="003859B6">
        <w:rPr>
          <w:i/>
        </w:rPr>
        <w:t>Aquaculture</w:t>
      </w:r>
      <w:r w:rsidRPr="003859B6">
        <w:t>, Vol. 5/4, pp. 255-279.</w:t>
      </w:r>
      <w:proofErr w:type="gramEnd"/>
    </w:p>
    <w:p w:rsidR="00EC626C" w:rsidRPr="003859B6" w:rsidRDefault="00EC626C" w:rsidP="009078ED">
      <w:pPr>
        <w:pStyle w:val="Biblio-Entry"/>
      </w:pPr>
      <w:r w:rsidRPr="003859B6">
        <w:t xml:space="preserve">Ross, L.G., T.C. </w:t>
      </w:r>
      <w:proofErr w:type="spellStart"/>
      <w:r w:rsidRPr="003859B6">
        <w:t>Telfer</w:t>
      </w:r>
      <w:proofErr w:type="spellEnd"/>
      <w:r w:rsidRPr="003859B6">
        <w:t>, L. Falconer, D. Soto and J. Aguilar-</w:t>
      </w:r>
      <w:proofErr w:type="spellStart"/>
      <w:r w:rsidRPr="003859B6">
        <w:t>Manjarrez</w:t>
      </w:r>
      <w:proofErr w:type="spellEnd"/>
      <w:r w:rsidRPr="003859B6">
        <w:t xml:space="preserve"> (eds.) (2013), "Site selection and carrying capacities for inland and coastal aquaculture: FAO/Institute of Aquaculture, University of Stirling, Expert Workshop, 6-8 December 2010”, </w:t>
      </w:r>
      <w:r w:rsidRPr="003859B6">
        <w:rPr>
          <w:i/>
        </w:rPr>
        <w:t>FAO Fisheries and Aquaculture Proceedings No. 21</w:t>
      </w:r>
      <w:r w:rsidRPr="003859B6">
        <w:t>, Food and Agriculture Organization, Rome.</w:t>
      </w:r>
    </w:p>
    <w:p w:rsidR="00EC626C" w:rsidRPr="003859B6" w:rsidRDefault="00EC626C" w:rsidP="009078ED">
      <w:pPr>
        <w:pStyle w:val="Biblio-Entry"/>
      </w:pPr>
      <w:proofErr w:type="spellStart"/>
      <w:r w:rsidRPr="003859B6">
        <w:t>Santosa</w:t>
      </w:r>
      <w:proofErr w:type="spellEnd"/>
      <w:r w:rsidRPr="003859B6">
        <w:t xml:space="preserve">, M.A., (2016), </w:t>
      </w:r>
      <w:r w:rsidRPr="003859B6">
        <w:rPr>
          <w:i/>
        </w:rPr>
        <w:t>Indonesia’s Approach to Tackling IUU Fishing: Strategy on the Prevention and Eradication of IUU Fishing &amp; Post-Moratorium Policies</w:t>
      </w:r>
      <w:r w:rsidRPr="003859B6">
        <w:t>, presentation to WorldFish, Penang, Malaysia.</w:t>
      </w:r>
    </w:p>
    <w:p w:rsidR="00EC626C" w:rsidRPr="003859B6" w:rsidRDefault="00EC626C" w:rsidP="009078ED">
      <w:pPr>
        <w:pStyle w:val="Biblio-Entry"/>
      </w:pPr>
      <w:r w:rsidRPr="003859B6">
        <w:t xml:space="preserve">Shelton, C., (2014), “Climate change adaptation in fisheries and aquaculture: Compilation of initial examples”, </w:t>
      </w:r>
      <w:r w:rsidRPr="003859B6">
        <w:rPr>
          <w:i/>
        </w:rPr>
        <w:t>FAO Fisheries and Aquaculture Circular No. 1088</w:t>
      </w:r>
      <w:r w:rsidRPr="003859B6">
        <w:t>, Food and Agriculture Organization, Rome.</w:t>
      </w:r>
    </w:p>
    <w:p w:rsidR="00EC626C" w:rsidRPr="003859B6" w:rsidRDefault="00EC626C" w:rsidP="009078ED">
      <w:pPr>
        <w:pStyle w:val="Biblio-Entry"/>
        <w:rPr>
          <w:lang w:eastAsia="en-US"/>
        </w:rPr>
      </w:pPr>
      <w:proofErr w:type="spellStart"/>
      <w:proofErr w:type="gramStart"/>
      <w:r w:rsidRPr="003859B6">
        <w:rPr>
          <w:lang w:eastAsia="en-US"/>
        </w:rPr>
        <w:t>Stobutzki</w:t>
      </w:r>
      <w:proofErr w:type="spellEnd"/>
      <w:r w:rsidRPr="003859B6">
        <w:rPr>
          <w:lang w:eastAsia="en-US"/>
        </w:rPr>
        <w:t xml:space="preserve">, I., M. Stephan and K. Mazur (2014), </w:t>
      </w:r>
      <w:r w:rsidRPr="003859B6">
        <w:rPr>
          <w:i/>
          <w:lang w:eastAsia="en-US"/>
        </w:rPr>
        <w:t>Overview of Indonesia’s Capture Fisheries, 2013</w:t>
      </w:r>
      <w:r w:rsidRPr="003859B6">
        <w:rPr>
          <w:lang w:eastAsia="en-US"/>
        </w:rPr>
        <w:t>, Australian Bureau of Agricultural and Resource Economics and Sciences, Canberra.</w:t>
      </w:r>
      <w:proofErr w:type="gramEnd"/>
    </w:p>
    <w:p w:rsidR="00EC626C" w:rsidRPr="003859B6" w:rsidRDefault="00EC626C" w:rsidP="009078ED">
      <w:pPr>
        <w:pStyle w:val="Biblio-Entry"/>
      </w:pPr>
      <w:r w:rsidRPr="003859B6">
        <w:t xml:space="preserve">Subasinghe, R.P., P. Bueno, M.J. Phillips, C. Hough, S.E. </w:t>
      </w:r>
      <w:proofErr w:type="spellStart"/>
      <w:r w:rsidRPr="003859B6">
        <w:t>McGladdery</w:t>
      </w:r>
      <w:proofErr w:type="spellEnd"/>
      <w:r w:rsidRPr="003859B6">
        <w:t xml:space="preserve">, and J.R. Arthur (eds.) (2000), </w:t>
      </w:r>
      <w:r w:rsidRPr="003859B6">
        <w:rPr>
          <w:i/>
        </w:rPr>
        <w:t>Aquaculture Development: Financing and Institutional Support</w:t>
      </w:r>
      <w:r w:rsidRPr="003859B6">
        <w:t>, Technical Proceedings of the Conference on Aquaculture in the Third Millennium, Bangkok, Thailand, 20-25 February 2000, pp. 259-263, Network of Aquaculture Centres in Asia-Pacific, Bangkok, and Food and Agriculture Organization, Rome.</w:t>
      </w:r>
    </w:p>
    <w:p w:rsidR="00EC626C" w:rsidRPr="003859B6" w:rsidRDefault="00EC626C" w:rsidP="009078ED">
      <w:pPr>
        <w:pStyle w:val="Biblio-Entry"/>
      </w:pPr>
      <w:proofErr w:type="spellStart"/>
      <w:r w:rsidRPr="003859B6">
        <w:t>Sutinen</w:t>
      </w:r>
      <w:proofErr w:type="spellEnd"/>
      <w:r w:rsidRPr="003859B6">
        <w:t xml:space="preserve"> J.G., (2013), </w:t>
      </w:r>
      <w:r w:rsidRPr="003859B6">
        <w:rPr>
          <w:i/>
        </w:rPr>
        <w:t>Final Report on Indonesian Fisheries Policy</w:t>
      </w:r>
      <w:r w:rsidRPr="003859B6">
        <w:t xml:space="preserve">, United States Agency for International Development, Washington D.C. </w:t>
      </w:r>
    </w:p>
    <w:p w:rsidR="00EC626C" w:rsidRPr="003859B6" w:rsidRDefault="00EC626C" w:rsidP="009078ED">
      <w:pPr>
        <w:pStyle w:val="Biblio-Entry"/>
      </w:pPr>
      <w:proofErr w:type="gramStart"/>
      <w:r w:rsidRPr="003859B6">
        <w:t xml:space="preserve">Tabor, S.R. (2015), “Constraints to Indonesia’s economic growth”, </w:t>
      </w:r>
      <w:r w:rsidRPr="003859B6">
        <w:rPr>
          <w:i/>
        </w:rPr>
        <w:t>ADB Papers on Indonesia No. 10</w:t>
      </w:r>
      <w:r w:rsidRPr="003859B6">
        <w:t>, Asian Development Bank, Manila.</w:t>
      </w:r>
      <w:proofErr w:type="gramEnd"/>
    </w:p>
    <w:p w:rsidR="00EC626C" w:rsidRPr="003859B6" w:rsidRDefault="00EC626C" w:rsidP="009078ED">
      <w:pPr>
        <w:pStyle w:val="Biblio-Entry"/>
      </w:pPr>
      <w:proofErr w:type="gramStart"/>
      <w:r w:rsidRPr="003859B6">
        <w:t>Tran, N., U-P.</w:t>
      </w:r>
      <w:proofErr w:type="gramEnd"/>
      <w:r w:rsidRPr="003859B6">
        <w:t xml:space="preserve"> Rodriguez, C.Y. Chan, M.J. Phillips, C.V. Mohan, P. J.G. </w:t>
      </w:r>
      <w:proofErr w:type="spellStart"/>
      <w:r w:rsidRPr="003859B6">
        <w:t>Henriksson</w:t>
      </w:r>
      <w:proofErr w:type="spellEnd"/>
      <w:r w:rsidRPr="003859B6">
        <w:t xml:space="preserve">, S. </w:t>
      </w:r>
      <w:proofErr w:type="spellStart"/>
      <w:r w:rsidRPr="003859B6">
        <w:t>Koeshendrajana</w:t>
      </w:r>
      <w:proofErr w:type="spellEnd"/>
      <w:r w:rsidRPr="003859B6">
        <w:t xml:space="preserve">, S. </w:t>
      </w:r>
      <w:proofErr w:type="spellStart"/>
      <w:r w:rsidRPr="003859B6">
        <w:t>Suri</w:t>
      </w:r>
      <w:proofErr w:type="spellEnd"/>
      <w:r w:rsidRPr="003859B6">
        <w:t xml:space="preserve"> and S. Hall (forthcoming), Indonesian Aquaculture Futures. Part 1: An analysis of fish supply and demand in Indonesia to 2010 and role of aquaculture using the </w:t>
      </w:r>
      <w:proofErr w:type="spellStart"/>
      <w:r w:rsidRPr="003859B6">
        <w:t>AisaFish</w:t>
      </w:r>
      <w:proofErr w:type="spellEnd"/>
      <w:r w:rsidRPr="003859B6">
        <w:t xml:space="preserve"> Model.</w:t>
      </w:r>
    </w:p>
    <w:p w:rsidR="00EC626C" w:rsidRPr="003859B6" w:rsidRDefault="00EC626C" w:rsidP="009078ED">
      <w:pPr>
        <w:pStyle w:val="Biblio-Entry"/>
      </w:pPr>
      <w:r w:rsidRPr="003859B6">
        <w:t>UN DESA (201</w:t>
      </w:r>
      <w:r w:rsidR="007A46D6" w:rsidRPr="003859B6">
        <w:t>6</w:t>
      </w:r>
      <w:r w:rsidRPr="003859B6">
        <w:t xml:space="preserve">), </w:t>
      </w:r>
      <w:r w:rsidRPr="003859B6">
        <w:rPr>
          <w:i/>
        </w:rPr>
        <w:t xml:space="preserve">UN </w:t>
      </w:r>
      <w:proofErr w:type="spellStart"/>
      <w:r w:rsidRPr="003859B6">
        <w:rPr>
          <w:i/>
        </w:rPr>
        <w:t>Comtrade</w:t>
      </w:r>
      <w:proofErr w:type="spellEnd"/>
      <w:r w:rsidRPr="003859B6">
        <w:rPr>
          <w:i/>
        </w:rPr>
        <w:t xml:space="preserve"> </w:t>
      </w:r>
      <w:r w:rsidRPr="003859B6">
        <w:t xml:space="preserve">(database), United Nations Department of Economic and Social Affairs, </w:t>
      </w:r>
      <w:hyperlink r:id="rId49" w:history="1">
        <w:r w:rsidRPr="003859B6">
          <w:rPr>
            <w:rStyle w:val="Hyperlink"/>
          </w:rPr>
          <w:t>https://comtrade.un.org/</w:t>
        </w:r>
      </w:hyperlink>
      <w:r w:rsidRPr="003859B6">
        <w:t xml:space="preserve"> (accessed on </w:t>
      </w:r>
      <w:r w:rsidR="007A46D6" w:rsidRPr="003859B6">
        <w:t>14 November 2016</w:t>
      </w:r>
      <w:r w:rsidRPr="003859B6">
        <w:t>).</w:t>
      </w:r>
    </w:p>
    <w:p w:rsidR="00EC626C" w:rsidRPr="003859B6" w:rsidRDefault="00EC626C" w:rsidP="009078ED">
      <w:pPr>
        <w:pStyle w:val="Biblio-Entry"/>
      </w:pPr>
      <w:r w:rsidRPr="003859B6">
        <w:t xml:space="preserve"> USAID (2013), </w:t>
      </w:r>
      <w:r w:rsidRPr="003859B6">
        <w:rPr>
          <w:i/>
        </w:rPr>
        <w:t>Indonesia’s Food Law of 2012, Prospective Impact on Domestic Markets and Food Security</w:t>
      </w:r>
      <w:r w:rsidRPr="003859B6">
        <w:t>, United States Agency for International Development, Washington D.C.</w:t>
      </w:r>
    </w:p>
    <w:p w:rsidR="00EC626C" w:rsidRPr="003859B6" w:rsidRDefault="00EC626C" w:rsidP="009078ED">
      <w:pPr>
        <w:pStyle w:val="Biblio-Entry"/>
        <w:rPr>
          <w:color w:val="000000"/>
          <w:lang w:eastAsia="en-US"/>
        </w:rPr>
      </w:pPr>
      <w:r w:rsidRPr="003859B6">
        <w:rPr>
          <w:color w:val="000000"/>
          <w:lang w:eastAsia="en-US"/>
        </w:rPr>
        <w:t xml:space="preserve">Waite, R., M. </w:t>
      </w:r>
      <w:proofErr w:type="spellStart"/>
      <w:r w:rsidRPr="003859B6">
        <w:rPr>
          <w:color w:val="000000"/>
          <w:lang w:eastAsia="en-US"/>
        </w:rPr>
        <w:t>Beveridge</w:t>
      </w:r>
      <w:proofErr w:type="spellEnd"/>
      <w:r w:rsidRPr="003859B6">
        <w:rPr>
          <w:color w:val="000000"/>
          <w:lang w:eastAsia="en-US"/>
        </w:rPr>
        <w:t xml:space="preserve">, R. </w:t>
      </w:r>
      <w:proofErr w:type="spellStart"/>
      <w:r w:rsidRPr="003859B6">
        <w:rPr>
          <w:color w:val="000000"/>
          <w:lang w:eastAsia="en-US"/>
        </w:rPr>
        <w:t>Brummett</w:t>
      </w:r>
      <w:proofErr w:type="spellEnd"/>
      <w:r w:rsidRPr="003859B6">
        <w:rPr>
          <w:color w:val="000000"/>
          <w:lang w:eastAsia="en-US"/>
        </w:rPr>
        <w:t xml:space="preserve">, S. </w:t>
      </w:r>
      <w:proofErr w:type="spellStart"/>
      <w:r w:rsidRPr="003859B6">
        <w:rPr>
          <w:color w:val="000000"/>
          <w:lang w:eastAsia="en-US"/>
        </w:rPr>
        <w:t>Castine</w:t>
      </w:r>
      <w:proofErr w:type="spellEnd"/>
      <w:r w:rsidRPr="003859B6">
        <w:rPr>
          <w:color w:val="000000"/>
          <w:lang w:eastAsia="en-US"/>
        </w:rPr>
        <w:t xml:space="preserve">, N. </w:t>
      </w:r>
      <w:proofErr w:type="spellStart"/>
      <w:r w:rsidRPr="003859B6">
        <w:rPr>
          <w:color w:val="000000"/>
          <w:lang w:eastAsia="en-US"/>
        </w:rPr>
        <w:t>Chaiyawannakarn</w:t>
      </w:r>
      <w:proofErr w:type="spellEnd"/>
      <w:r w:rsidRPr="003859B6">
        <w:rPr>
          <w:color w:val="000000"/>
          <w:lang w:eastAsia="en-US"/>
        </w:rPr>
        <w:t xml:space="preserve">, S. Kaushik, R. </w:t>
      </w:r>
      <w:proofErr w:type="spellStart"/>
      <w:r w:rsidRPr="003859B6">
        <w:rPr>
          <w:color w:val="000000"/>
          <w:lang w:eastAsia="en-US"/>
        </w:rPr>
        <w:t>Mungkung</w:t>
      </w:r>
      <w:proofErr w:type="spellEnd"/>
      <w:r w:rsidRPr="003859B6">
        <w:rPr>
          <w:color w:val="000000"/>
          <w:lang w:eastAsia="en-US"/>
        </w:rPr>
        <w:t xml:space="preserve">, S. </w:t>
      </w:r>
      <w:proofErr w:type="spellStart"/>
      <w:r w:rsidRPr="003859B6">
        <w:rPr>
          <w:color w:val="000000"/>
          <w:lang w:eastAsia="en-US"/>
        </w:rPr>
        <w:t>Nawapakpilai</w:t>
      </w:r>
      <w:proofErr w:type="spellEnd"/>
      <w:r w:rsidRPr="003859B6">
        <w:rPr>
          <w:color w:val="000000"/>
          <w:lang w:eastAsia="en-US"/>
        </w:rPr>
        <w:t xml:space="preserve"> and M. Phillips (2014), “Improving productivity and environmental performance of aquaculture performance”, </w:t>
      </w:r>
      <w:r w:rsidRPr="003859B6">
        <w:rPr>
          <w:i/>
          <w:color w:val="000000"/>
          <w:lang w:eastAsia="en-US"/>
        </w:rPr>
        <w:t>World Resources Institute Working Paper</w:t>
      </w:r>
      <w:r w:rsidRPr="003859B6">
        <w:rPr>
          <w:color w:val="000000"/>
          <w:lang w:eastAsia="en-US"/>
        </w:rPr>
        <w:t>, World Resources Institute, Washington D.C.</w:t>
      </w:r>
    </w:p>
    <w:p w:rsidR="00EC626C" w:rsidRPr="003859B6" w:rsidRDefault="00EC626C" w:rsidP="009078ED">
      <w:pPr>
        <w:pStyle w:val="Biblio-Entry"/>
        <w:rPr>
          <w:color w:val="000000"/>
          <w:lang w:eastAsia="en-US"/>
        </w:rPr>
      </w:pPr>
      <w:r w:rsidRPr="003859B6">
        <w:rPr>
          <w:color w:val="000000"/>
          <w:lang w:eastAsia="en-US"/>
        </w:rPr>
        <w:t xml:space="preserve">WHO (2015), </w:t>
      </w:r>
      <w:r w:rsidRPr="003859B6">
        <w:rPr>
          <w:i/>
          <w:color w:val="000000"/>
          <w:lang w:eastAsia="en-US"/>
        </w:rPr>
        <w:t>Global Database on Child Growth and Malnutrition</w:t>
      </w:r>
      <w:r w:rsidRPr="003859B6">
        <w:rPr>
          <w:color w:val="000000"/>
          <w:lang w:eastAsia="en-US"/>
        </w:rPr>
        <w:t xml:space="preserve"> (database), UNICEF-WHO-The World Bank Group, </w:t>
      </w:r>
      <w:hyperlink r:id="rId50" w:history="1">
        <w:r w:rsidRPr="003859B6">
          <w:rPr>
            <w:rStyle w:val="Hyperlink"/>
            <w:lang w:eastAsia="en-US"/>
          </w:rPr>
          <w:t>www.who.int/nutgrowthdb/estimates2014/en/</w:t>
        </w:r>
      </w:hyperlink>
      <w:r w:rsidRPr="003859B6">
        <w:rPr>
          <w:color w:val="000000"/>
          <w:lang w:eastAsia="en-US"/>
        </w:rPr>
        <w:t xml:space="preserve"> (accessed on 8 November 2016).</w:t>
      </w:r>
    </w:p>
    <w:p w:rsidR="00EC626C" w:rsidRPr="003859B6" w:rsidRDefault="00EC626C" w:rsidP="009078ED">
      <w:pPr>
        <w:pStyle w:val="Biblio-Entry"/>
        <w:rPr>
          <w:color w:val="000000"/>
          <w:lang w:eastAsia="en-US"/>
        </w:rPr>
      </w:pPr>
      <w:proofErr w:type="spellStart"/>
      <w:proofErr w:type="gramStart"/>
      <w:r w:rsidRPr="003859B6">
        <w:rPr>
          <w:color w:val="000000"/>
          <w:lang w:eastAsia="en-US"/>
        </w:rPr>
        <w:t>Wijaya</w:t>
      </w:r>
      <w:proofErr w:type="spellEnd"/>
      <w:r w:rsidRPr="003859B6">
        <w:rPr>
          <w:color w:val="000000"/>
          <w:lang w:eastAsia="en-US"/>
        </w:rPr>
        <w:t xml:space="preserve">, A. and P. </w:t>
      </w:r>
      <w:proofErr w:type="spellStart"/>
      <w:r w:rsidRPr="003859B6">
        <w:rPr>
          <w:color w:val="000000"/>
          <w:lang w:eastAsia="en-US"/>
        </w:rPr>
        <w:t>Glasbergen</w:t>
      </w:r>
      <w:proofErr w:type="spellEnd"/>
      <w:r w:rsidRPr="003859B6">
        <w:rPr>
          <w:color w:val="000000"/>
          <w:lang w:eastAsia="en-US"/>
        </w:rPr>
        <w:t xml:space="preserve"> (2016), “Toward a new scenario in agricultural sustainability certification?</w:t>
      </w:r>
      <w:proofErr w:type="gramEnd"/>
      <w:r w:rsidRPr="003859B6">
        <w:rPr>
          <w:color w:val="000000"/>
          <w:lang w:eastAsia="en-US"/>
        </w:rPr>
        <w:t xml:space="preserve"> </w:t>
      </w:r>
      <w:proofErr w:type="gramStart"/>
      <w:r w:rsidRPr="003859B6">
        <w:rPr>
          <w:color w:val="000000"/>
          <w:lang w:eastAsia="en-US"/>
        </w:rPr>
        <w:t>The response of the Indonesian national government to private certification”</w:t>
      </w:r>
      <w:r w:rsidRPr="003859B6">
        <w:rPr>
          <w:i/>
          <w:color w:val="000000"/>
          <w:lang w:eastAsia="en-US"/>
        </w:rPr>
        <w:t>, The Journal of Environment &amp; Development</w:t>
      </w:r>
      <w:r w:rsidRPr="003859B6">
        <w:rPr>
          <w:color w:val="000000"/>
          <w:lang w:eastAsia="en-US"/>
        </w:rPr>
        <w:t>, Vol. 25/ 2, pp. 219-246.</w:t>
      </w:r>
      <w:proofErr w:type="gramEnd"/>
    </w:p>
    <w:p w:rsidR="00EC626C" w:rsidRPr="003859B6" w:rsidRDefault="00EC626C" w:rsidP="009078ED">
      <w:pPr>
        <w:pStyle w:val="Num-DocParagraph"/>
      </w:pPr>
      <w:r w:rsidRPr="003859B6">
        <w:t>World Bank (</w:t>
      </w:r>
      <w:r w:rsidR="006602F2" w:rsidRPr="003859B6">
        <w:t>2017</w:t>
      </w:r>
      <w:r w:rsidRPr="003859B6">
        <w:t xml:space="preserve">), </w:t>
      </w:r>
      <w:r w:rsidRPr="003859B6">
        <w:rPr>
          <w:i/>
        </w:rPr>
        <w:t>Indonesia</w:t>
      </w:r>
      <w:r w:rsidR="006602F2" w:rsidRPr="003859B6">
        <w:rPr>
          <w:i/>
        </w:rPr>
        <w:t xml:space="preserve"> Dashboard</w:t>
      </w:r>
      <w:r w:rsidRPr="003859B6">
        <w:t xml:space="preserve">, </w:t>
      </w:r>
      <w:proofErr w:type="gramStart"/>
      <w:r w:rsidRPr="003859B6">
        <w:t>The</w:t>
      </w:r>
      <w:proofErr w:type="gramEnd"/>
      <w:r w:rsidRPr="003859B6">
        <w:t xml:space="preserve"> World Bank Group, </w:t>
      </w:r>
      <w:hyperlink r:id="rId51" w:history="1">
        <w:r w:rsidR="00F96488" w:rsidRPr="003859B6">
          <w:rPr>
            <w:rStyle w:val="Hyperlink"/>
          </w:rPr>
          <w:t>http://sdwebx.worldbank.org/climateportalb/home.cfm?page=country_profile&amp;CCode=IDN</w:t>
        </w:r>
      </w:hyperlink>
      <w:r w:rsidRPr="003859B6">
        <w:t xml:space="preserve"> (accessed on </w:t>
      </w:r>
      <w:r w:rsidR="006602F2" w:rsidRPr="003859B6">
        <w:t>9</w:t>
      </w:r>
      <w:r w:rsidRPr="003859B6">
        <w:t xml:space="preserve"> </w:t>
      </w:r>
      <w:r w:rsidR="006602F2" w:rsidRPr="003859B6">
        <w:t xml:space="preserve">February </w:t>
      </w:r>
      <w:r w:rsidRPr="003859B6">
        <w:t>201</w:t>
      </w:r>
      <w:r w:rsidR="006602F2" w:rsidRPr="003859B6">
        <w:t>7</w:t>
      </w:r>
      <w:r w:rsidRPr="003859B6">
        <w:t>).</w:t>
      </w:r>
    </w:p>
    <w:p w:rsidR="00B02A67" w:rsidRPr="00764254" w:rsidRDefault="00EC626C" w:rsidP="00154ECC">
      <w:pPr>
        <w:pStyle w:val="Biblio-Entry"/>
      </w:pPr>
      <w:r w:rsidRPr="003859B6">
        <w:t xml:space="preserve">World Economic Forum (2015), </w:t>
      </w:r>
      <w:proofErr w:type="gramStart"/>
      <w:r w:rsidRPr="003859B6">
        <w:rPr>
          <w:i/>
        </w:rPr>
        <w:t>The</w:t>
      </w:r>
      <w:proofErr w:type="gramEnd"/>
      <w:r w:rsidRPr="003859B6">
        <w:rPr>
          <w:i/>
        </w:rPr>
        <w:t xml:space="preserve"> Global Competitiveness Report 2015-2016</w:t>
      </w:r>
      <w:r w:rsidRPr="003859B6">
        <w:t>, World Economic Forum, Geneva.</w:t>
      </w:r>
    </w:p>
    <w:sectPr w:rsidR="00B02A67" w:rsidRPr="00764254" w:rsidSect="007C2C0E">
      <w:endnotePr>
        <w:numFmt w:val="decimal"/>
      </w:endnotePr>
      <w:pgSz w:w="11906" w:h="16838"/>
      <w:pgMar w:top="1701" w:right="1247" w:bottom="1843" w:left="1191" w:header="124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5E" w:rsidRDefault="00D3005E">
      <w:r>
        <w:separator/>
      </w:r>
    </w:p>
  </w:endnote>
  <w:endnote w:type="continuationSeparator" w:id="0">
    <w:p w:rsidR="00D3005E" w:rsidRDefault="00D3005E">
      <w:r>
        <w:continuationSeparator/>
      </w:r>
    </w:p>
  </w:endnote>
  <w:endnote w:type="continuationNotice" w:id="1">
    <w:p w:rsidR="00D3005E" w:rsidRDefault="00D30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0B" w:rsidRDefault="00B6220B" w:rsidP="00C224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2287">
      <w:rPr>
        <w:rStyle w:val="PageNumber"/>
        <w:noProof/>
      </w:rPr>
      <w:t>36</w:t>
    </w:r>
    <w:r>
      <w:rPr>
        <w:rStyle w:val="PageNumber"/>
      </w:rPr>
      <w:fldChar w:fldCharType="end"/>
    </w:r>
  </w:p>
  <w:p w:rsidR="00B6220B" w:rsidRPr="00B02A67" w:rsidRDefault="00B6220B" w:rsidP="00B02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0B" w:rsidRDefault="00B6220B" w:rsidP="00B02A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2287">
      <w:rPr>
        <w:rStyle w:val="PageNumber"/>
        <w:noProof/>
      </w:rPr>
      <w:t>37</w:t>
    </w:r>
    <w:r>
      <w:rPr>
        <w:rStyle w:val="PageNumber"/>
      </w:rPr>
      <w:fldChar w:fldCharType="end"/>
    </w:r>
  </w:p>
  <w:p w:rsidR="00B6220B" w:rsidRPr="00B02A67" w:rsidRDefault="00B6220B" w:rsidP="00B02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5E" w:rsidRDefault="00D3005E">
      <w:r>
        <w:separator/>
      </w:r>
    </w:p>
  </w:footnote>
  <w:footnote w:type="continuationSeparator" w:id="0">
    <w:p w:rsidR="00D3005E" w:rsidRDefault="00D3005E">
      <w:r>
        <w:continuationSeparator/>
      </w:r>
    </w:p>
  </w:footnote>
  <w:footnote w:type="continuationNotice" w:id="1">
    <w:p w:rsidR="00D3005E" w:rsidRDefault="00D3005E"/>
  </w:footnote>
  <w:footnote w:id="2">
    <w:p w:rsidR="00B6220B" w:rsidRPr="002A7B04" w:rsidRDefault="00B6220B" w:rsidP="00847EE4">
      <w:pPr>
        <w:pStyle w:val="Footer"/>
        <w:rPr>
          <w:sz w:val="20"/>
          <w:szCs w:val="20"/>
        </w:rPr>
      </w:pPr>
      <w:r w:rsidRPr="002A7B04">
        <w:rPr>
          <w:rStyle w:val="FootnoteReference"/>
          <w:sz w:val="20"/>
          <w:szCs w:val="20"/>
        </w:rPr>
        <w:footnoteRef/>
      </w:r>
      <w:r w:rsidRPr="002A7B04">
        <w:rPr>
          <w:sz w:val="20"/>
          <w:szCs w:val="20"/>
        </w:rPr>
        <w:t xml:space="preserve"> Indonesia’s Law No. 18/2012 defines food security in a way that is very much in line with the FAO theoretical framework. It is described as the condition in which all people, in all households, at all times have sufficient food in both quantity and quality to enable them to live healthy, active, productive and sustainable lives, and that the food is safe, diverse, nutritious, equitably distributed and affordable, and does not conflict with religion, beliefs or culture </w:t>
      </w:r>
      <w:r w:rsidRPr="002A7B04">
        <w:rPr>
          <w:sz w:val="20"/>
          <w:szCs w:val="20"/>
        </w:rPr>
        <w:fldChar w:fldCharType="begin"/>
      </w:r>
      <w:r w:rsidRPr="002A7B04">
        <w:rPr>
          <w:sz w:val="20"/>
          <w:szCs w:val="20"/>
        </w:rPr>
        <w:instrText xml:space="preserve"> ADDIN ZOTERO_ITEM CSL_CITATION {"citationID":"7I2En0VO","properties":{"formattedCitation":"(OECD 2015a)","plainCitation":"(OECD 2015a)","dontUpdate":true},"citationItems":[{"id":2961,"uris":["http://zotero.org/users/104709/items/NE6538WC"],"uri":["http://zotero.org/users/104709/items/NE6538WC"],"itemData":{"id":2961,"type":"report","title":"Food Security and Vulnerability Atlas, Indonesia 2015: Summary Version","collection-title":"Fighting Hunger Worldwide","publisher-place":"Paris, France","event-place":"Paris, France","author":[{"literal":"OECD"}],"issued":{"date-parts":[["2015"]]}}}],"schema":"https://github.com/citation-style-language/schema/raw/master/csl-citation.json"} </w:instrText>
      </w:r>
      <w:r w:rsidRPr="002A7B04">
        <w:rPr>
          <w:sz w:val="20"/>
          <w:szCs w:val="20"/>
        </w:rPr>
        <w:fldChar w:fldCharType="separate"/>
      </w:r>
      <w:r w:rsidRPr="002A7B04">
        <w:rPr>
          <w:noProof/>
          <w:sz w:val="20"/>
          <w:szCs w:val="20"/>
        </w:rPr>
        <w:t>(OECD, 201</w:t>
      </w:r>
      <w:r>
        <w:rPr>
          <w:noProof/>
          <w:sz w:val="20"/>
          <w:szCs w:val="20"/>
        </w:rPr>
        <w:t>6a</w:t>
      </w:r>
      <w:r w:rsidRPr="002A7B04">
        <w:rPr>
          <w:noProof/>
          <w:sz w:val="20"/>
          <w:szCs w:val="20"/>
        </w:rPr>
        <w:t>)</w:t>
      </w:r>
      <w:r w:rsidRPr="002A7B04">
        <w:rPr>
          <w:sz w:val="20"/>
          <w:szCs w:val="20"/>
        </w:rPr>
        <w:fldChar w:fldCharType="end"/>
      </w:r>
      <w:r w:rsidRPr="002A7B04">
        <w:rPr>
          <w:sz w:val="20"/>
          <w:szCs w:val="20"/>
        </w:rPr>
        <w:t>.</w:t>
      </w:r>
    </w:p>
  </w:footnote>
  <w:footnote w:id="3">
    <w:p w:rsidR="00B6220B" w:rsidRPr="002A7B04" w:rsidRDefault="00B6220B" w:rsidP="006955F8">
      <w:pPr>
        <w:pStyle w:val="Footer"/>
        <w:rPr>
          <w:sz w:val="20"/>
          <w:szCs w:val="20"/>
        </w:rPr>
      </w:pPr>
      <w:r w:rsidRPr="002A7B04">
        <w:rPr>
          <w:rStyle w:val="FootnoteReference"/>
          <w:sz w:val="20"/>
          <w:szCs w:val="20"/>
        </w:rPr>
        <w:footnoteRef/>
      </w:r>
      <w:r w:rsidRPr="002A7B04">
        <w:rPr>
          <w:sz w:val="20"/>
          <w:szCs w:val="20"/>
        </w:rPr>
        <w:t xml:space="preserve"> Using a range of indicators, the companion paper </w:t>
      </w:r>
      <w:r w:rsidRPr="002A7B04">
        <w:rPr>
          <w:i/>
          <w:sz w:val="20"/>
          <w:szCs w:val="20"/>
        </w:rPr>
        <w:t>Stocktake of Food Security Policies</w:t>
      </w:r>
      <w:r w:rsidRPr="002A7B04">
        <w:rPr>
          <w:sz w:val="20"/>
          <w:szCs w:val="20"/>
        </w:rPr>
        <w:t xml:space="preserve"> (</w:t>
      </w:r>
      <w:hyperlink r:id="rId1" w:history="1">
        <w:r w:rsidRPr="00185B50">
          <w:rPr>
            <w:rStyle w:val="Hyperlink"/>
            <w:sz w:val="20"/>
            <w:szCs w:val="20"/>
          </w:rPr>
          <w:t>TAD/CA/APM/</w:t>
        </w:r>
        <w:proofErr w:type="gramStart"/>
        <w:r w:rsidRPr="00185B50">
          <w:rPr>
            <w:rStyle w:val="Hyperlink"/>
            <w:sz w:val="20"/>
            <w:szCs w:val="20"/>
          </w:rPr>
          <w:t>WP(</w:t>
        </w:r>
        <w:proofErr w:type="gramEnd"/>
        <w:r w:rsidRPr="00185B50">
          <w:rPr>
            <w:rStyle w:val="Hyperlink"/>
            <w:sz w:val="20"/>
            <w:szCs w:val="20"/>
          </w:rPr>
          <w:t>2016)20</w:t>
        </w:r>
      </w:hyperlink>
      <w:r w:rsidRPr="002A7B04">
        <w:rPr>
          <w:sz w:val="20"/>
          <w:szCs w:val="20"/>
        </w:rPr>
        <w:t xml:space="preserve"> – hereafter OECD, 2016</w:t>
      </w:r>
      <w:r>
        <w:rPr>
          <w:sz w:val="20"/>
          <w:szCs w:val="20"/>
        </w:rPr>
        <w:t>b</w:t>
      </w:r>
      <w:r w:rsidRPr="002A7B04">
        <w:rPr>
          <w:sz w:val="20"/>
          <w:szCs w:val="20"/>
        </w:rPr>
        <w:t>) provides a snapshot of the food security situation in the ASEAN region, and in comparison to the rest of the world.</w:t>
      </w:r>
    </w:p>
  </w:footnote>
  <w:footnote w:id="4">
    <w:p w:rsidR="00B6220B" w:rsidRPr="002A7B04" w:rsidRDefault="00B6220B" w:rsidP="00847EE4">
      <w:pPr>
        <w:pStyle w:val="Footer"/>
        <w:rPr>
          <w:sz w:val="20"/>
          <w:szCs w:val="20"/>
        </w:rPr>
      </w:pPr>
      <w:r w:rsidRPr="002A7B04">
        <w:rPr>
          <w:rStyle w:val="FootnoteReference"/>
          <w:sz w:val="20"/>
          <w:szCs w:val="20"/>
        </w:rPr>
        <w:footnoteRef/>
      </w:r>
      <w:r w:rsidRPr="002A7B04">
        <w:rPr>
          <w:sz w:val="20"/>
          <w:szCs w:val="20"/>
        </w:rPr>
        <w:t xml:space="preserve"> The FAO </w:t>
      </w:r>
      <w:r>
        <w:rPr>
          <w:sz w:val="20"/>
          <w:szCs w:val="20"/>
        </w:rPr>
        <w:t xml:space="preserve">prevalence of </w:t>
      </w:r>
      <w:r w:rsidRPr="002A7B04">
        <w:rPr>
          <w:sz w:val="20"/>
          <w:szCs w:val="20"/>
        </w:rPr>
        <w:t xml:space="preserve">food inadequacy index </w:t>
      </w:r>
      <w:r w:rsidRPr="002A7B04">
        <w:rPr>
          <w:color w:val="212121"/>
          <w:sz w:val="20"/>
          <w:szCs w:val="20"/>
        </w:rPr>
        <w:t xml:space="preserve">measures the percentage of the population that is at risk of not </w:t>
      </w:r>
      <w:r>
        <w:rPr>
          <w:color w:val="212121"/>
          <w:sz w:val="20"/>
          <w:szCs w:val="20"/>
        </w:rPr>
        <w:t>meeting</w:t>
      </w:r>
      <w:r w:rsidRPr="002A7B04">
        <w:rPr>
          <w:color w:val="212121"/>
          <w:sz w:val="20"/>
          <w:szCs w:val="20"/>
        </w:rPr>
        <w:t xml:space="preserve"> the food </w:t>
      </w:r>
      <w:r>
        <w:rPr>
          <w:color w:val="212121"/>
          <w:sz w:val="20"/>
          <w:szCs w:val="20"/>
        </w:rPr>
        <w:t xml:space="preserve">intake </w:t>
      </w:r>
      <w:r w:rsidRPr="002A7B04">
        <w:rPr>
          <w:color w:val="212121"/>
          <w:sz w:val="20"/>
          <w:szCs w:val="20"/>
        </w:rPr>
        <w:t xml:space="preserve">requirements associated with normal physical activity, and therefore </w:t>
      </w:r>
      <w:r>
        <w:rPr>
          <w:color w:val="212121"/>
          <w:sz w:val="20"/>
          <w:szCs w:val="20"/>
        </w:rPr>
        <w:t xml:space="preserve">also </w:t>
      </w:r>
      <w:r w:rsidRPr="002A7B04">
        <w:rPr>
          <w:color w:val="212121"/>
          <w:sz w:val="20"/>
          <w:szCs w:val="20"/>
        </w:rPr>
        <w:t>includ</w:t>
      </w:r>
      <w:r>
        <w:rPr>
          <w:color w:val="212121"/>
          <w:sz w:val="20"/>
          <w:szCs w:val="20"/>
        </w:rPr>
        <w:t>es</w:t>
      </w:r>
      <w:r w:rsidRPr="002A7B04">
        <w:rPr>
          <w:color w:val="212121"/>
          <w:sz w:val="20"/>
          <w:szCs w:val="20"/>
        </w:rPr>
        <w:t xml:space="preserve"> those who, although they cannot be considered chronically undernourished, are likely </w:t>
      </w:r>
      <w:r>
        <w:rPr>
          <w:color w:val="212121"/>
          <w:sz w:val="20"/>
          <w:szCs w:val="20"/>
        </w:rPr>
        <w:t>to be</w:t>
      </w:r>
      <w:r w:rsidRPr="002A7B04">
        <w:rPr>
          <w:color w:val="212121"/>
          <w:sz w:val="20"/>
          <w:szCs w:val="20"/>
        </w:rPr>
        <w:t xml:space="preserve"> </w:t>
      </w:r>
      <w:r w:rsidRPr="0072767F">
        <w:rPr>
          <w:color w:val="212121"/>
          <w:sz w:val="20"/>
          <w:szCs w:val="20"/>
        </w:rPr>
        <w:t>conditioned in their economic activity by</w:t>
      </w:r>
      <w:r w:rsidRPr="002A7B04">
        <w:rPr>
          <w:color w:val="212121"/>
          <w:sz w:val="20"/>
          <w:szCs w:val="20"/>
        </w:rPr>
        <w:t xml:space="preserve"> insufficient food.</w:t>
      </w:r>
    </w:p>
  </w:footnote>
  <w:footnote w:id="5">
    <w:p w:rsidR="00B6220B" w:rsidRPr="002A7B04" w:rsidRDefault="00B6220B" w:rsidP="006955F8">
      <w:pPr>
        <w:pStyle w:val="Footer"/>
        <w:rPr>
          <w:sz w:val="20"/>
          <w:szCs w:val="20"/>
        </w:rPr>
      </w:pPr>
      <w:r w:rsidRPr="002A7B04">
        <w:rPr>
          <w:rStyle w:val="FootnoteReference"/>
          <w:sz w:val="20"/>
          <w:szCs w:val="20"/>
        </w:rPr>
        <w:footnoteRef/>
      </w:r>
      <w:r w:rsidRPr="002A7B04">
        <w:rPr>
          <w:sz w:val="20"/>
          <w:szCs w:val="20"/>
        </w:rPr>
        <w:t xml:space="preserve"> The National Food Law, adopted </w:t>
      </w:r>
      <w:r w:rsidRPr="002A7B04" w:rsidDel="00AD0571">
        <w:rPr>
          <w:sz w:val="20"/>
          <w:szCs w:val="20"/>
        </w:rPr>
        <w:t xml:space="preserve">in </w:t>
      </w:r>
      <w:r w:rsidRPr="002A7B04">
        <w:rPr>
          <w:sz w:val="20"/>
          <w:szCs w:val="20"/>
        </w:rPr>
        <w:t>Indonesia</w:t>
      </w:r>
      <w:r w:rsidRPr="00AD0571">
        <w:rPr>
          <w:sz w:val="20"/>
          <w:szCs w:val="20"/>
        </w:rPr>
        <w:t xml:space="preserve"> </w:t>
      </w:r>
      <w:r w:rsidRPr="002A7B04">
        <w:rPr>
          <w:sz w:val="20"/>
          <w:szCs w:val="20"/>
        </w:rPr>
        <w:t>in October 2012, expanded the ways and means by which the government might influence domestic food markets.</w:t>
      </w:r>
      <w:r w:rsidRPr="002A7B04" w:rsidDel="00887345">
        <w:rPr>
          <w:sz w:val="20"/>
          <w:szCs w:val="20"/>
        </w:rPr>
        <w:t xml:space="preserve"> </w:t>
      </w:r>
      <w:r w:rsidRPr="002A7B04">
        <w:rPr>
          <w:sz w:val="20"/>
          <w:szCs w:val="20"/>
        </w:rPr>
        <w:t xml:space="preserve">The key objectives </w:t>
      </w:r>
      <w:r>
        <w:rPr>
          <w:sz w:val="20"/>
          <w:szCs w:val="20"/>
        </w:rPr>
        <w:t xml:space="preserve">of the law </w:t>
      </w:r>
      <w:r w:rsidRPr="002A7B04">
        <w:rPr>
          <w:sz w:val="20"/>
          <w:szCs w:val="20"/>
        </w:rPr>
        <w:t>are to increase food production and self-sufficiency; improve the welfare of farmers, fishers and food processors and their competitiveness; ease consumer access to food</w:t>
      </w:r>
      <w:r>
        <w:rPr>
          <w:sz w:val="20"/>
          <w:szCs w:val="20"/>
        </w:rPr>
        <w:t>,</w:t>
      </w:r>
      <w:r w:rsidRPr="002A7B04">
        <w:rPr>
          <w:sz w:val="20"/>
          <w:szCs w:val="20"/>
        </w:rPr>
        <w:t xml:space="preserve"> especially for the food insecure; and improve nutrition outcomes by promoting more diversity in food consumption. Among the policy tools introduced are import and export restrictions; investment in research and development (R&amp;D) and rural infrastructure; better management of land and water resources; as well as promotion of consumer knowledge of the nutritional benefits</w:t>
      </w:r>
      <w:r>
        <w:rPr>
          <w:sz w:val="20"/>
          <w:szCs w:val="20"/>
        </w:rPr>
        <w:t xml:space="preserve"> of an adequate diet (USAID, 2013</w:t>
      </w:r>
      <w:r w:rsidRPr="002A7B04">
        <w:rPr>
          <w:sz w:val="20"/>
          <w:szCs w:val="20"/>
        </w:rPr>
        <w:t>).</w:t>
      </w:r>
      <w:r>
        <w:rPr>
          <w:sz w:val="20"/>
          <w:szCs w:val="20"/>
        </w:rPr>
        <w:t xml:space="preserve"> </w:t>
      </w:r>
    </w:p>
  </w:footnote>
  <w:footnote w:id="6">
    <w:p w:rsidR="00B6220B" w:rsidRPr="002A7B04" w:rsidRDefault="00B6220B" w:rsidP="006955F8">
      <w:pPr>
        <w:pStyle w:val="Footer"/>
        <w:rPr>
          <w:sz w:val="20"/>
          <w:szCs w:val="20"/>
        </w:rPr>
      </w:pPr>
      <w:r w:rsidRPr="002A7B04">
        <w:rPr>
          <w:rStyle w:val="FootnoteReference"/>
          <w:sz w:val="20"/>
          <w:szCs w:val="20"/>
        </w:rPr>
        <w:footnoteRef/>
      </w:r>
      <w:r w:rsidRPr="002A7B04">
        <w:rPr>
          <w:sz w:val="20"/>
          <w:szCs w:val="20"/>
        </w:rPr>
        <w:t xml:space="preserve"> On October 20, 2014, President </w:t>
      </w:r>
      <w:proofErr w:type="spellStart"/>
      <w:r w:rsidRPr="002A7B04">
        <w:rPr>
          <w:sz w:val="20"/>
          <w:szCs w:val="20"/>
        </w:rPr>
        <w:t>Jokowi</w:t>
      </w:r>
      <w:proofErr w:type="spellEnd"/>
      <w:r w:rsidRPr="002A7B04">
        <w:rPr>
          <w:sz w:val="20"/>
          <w:szCs w:val="20"/>
        </w:rPr>
        <w:t xml:space="preserve"> declared “We have to work as hard as we can to restore Indonesia as a maritime power. The oceans, the seas, the straits and the bays are the future of our civili</w:t>
      </w:r>
      <w:r>
        <w:rPr>
          <w:sz w:val="20"/>
          <w:szCs w:val="20"/>
        </w:rPr>
        <w:t>s</w:t>
      </w:r>
      <w:r w:rsidRPr="002A7B04">
        <w:rPr>
          <w:sz w:val="20"/>
          <w:szCs w:val="20"/>
        </w:rPr>
        <w:t>ation.” (</w:t>
      </w:r>
      <w:proofErr w:type="spellStart"/>
      <w:r w:rsidRPr="002A7B04">
        <w:rPr>
          <w:sz w:val="20"/>
          <w:szCs w:val="20"/>
        </w:rPr>
        <w:t>Noegroho</w:t>
      </w:r>
      <w:proofErr w:type="spellEnd"/>
      <w:r w:rsidRPr="002A7B04">
        <w:rPr>
          <w:sz w:val="20"/>
          <w:szCs w:val="20"/>
        </w:rPr>
        <w:t>, 2016)</w:t>
      </w:r>
    </w:p>
  </w:footnote>
  <w:footnote w:id="7">
    <w:p w:rsidR="00B6220B" w:rsidRPr="002A7B04" w:rsidRDefault="00B6220B" w:rsidP="002B4A49">
      <w:pPr>
        <w:pStyle w:val="Footer"/>
        <w:rPr>
          <w:sz w:val="20"/>
          <w:szCs w:val="20"/>
        </w:rPr>
      </w:pPr>
      <w:r w:rsidRPr="002A7B04">
        <w:rPr>
          <w:rStyle w:val="FootnoteReference"/>
          <w:sz w:val="20"/>
          <w:szCs w:val="20"/>
        </w:rPr>
        <w:footnoteRef/>
      </w:r>
      <w:r w:rsidRPr="002A7B04">
        <w:rPr>
          <w:sz w:val="20"/>
          <w:szCs w:val="20"/>
        </w:rPr>
        <w:t xml:space="preserve"> It is estimated that inland fisheries account for about 6% of the total catch</w:t>
      </w:r>
      <w:r>
        <w:rPr>
          <w:sz w:val="20"/>
          <w:szCs w:val="20"/>
        </w:rPr>
        <w:t xml:space="preserve"> volume and 9% of catch value (</w:t>
      </w:r>
      <w:r w:rsidRPr="002A7B04">
        <w:rPr>
          <w:sz w:val="20"/>
          <w:szCs w:val="20"/>
        </w:rPr>
        <w:t>Tran et al., forthcoming). About 200 000 boats operate in inland waters, mostly without engines (</w:t>
      </w:r>
      <w:r w:rsidRPr="00183907">
        <w:rPr>
          <w:sz w:val="20"/>
          <w:szCs w:val="20"/>
          <w:highlight w:val="lightGray"/>
        </w:rPr>
        <w:t>FAO, 2012</w:t>
      </w:r>
      <w:r w:rsidRPr="002A7B04">
        <w:rPr>
          <w:sz w:val="20"/>
          <w:szCs w:val="20"/>
        </w:rPr>
        <w:t xml:space="preserve">). Due to lack of </w:t>
      </w:r>
      <w:r w:rsidRPr="001A3555">
        <w:rPr>
          <w:sz w:val="20"/>
          <w:szCs w:val="20"/>
        </w:rPr>
        <w:t>available data,</w:t>
      </w:r>
      <w:r w:rsidRPr="002A7B04">
        <w:rPr>
          <w:sz w:val="20"/>
          <w:szCs w:val="20"/>
        </w:rPr>
        <w:t xml:space="preserve"> this report does not cover policies for inland water fishing.</w:t>
      </w:r>
    </w:p>
  </w:footnote>
  <w:footnote w:id="8">
    <w:p w:rsidR="00B6220B" w:rsidRPr="002A7B04" w:rsidRDefault="00B6220B" w:rsidP="00581E54">
      <w:pPr>
        <w:pStyle w:val="Footer"/>
        <w:rPr>
          <w:sz w:val="20"/>
          <w:szCs w:val="20"/>
          <w:lang w:val="en-US"/>
        </w:rPr>
      </w:pPr>
      <w:r w:rsidRPr="002A7B04">
        <w:rPr>
          <w:rStyle w:val="FootnoteReference"/>
          <w:sz w:val="20"/>
          <w:szCs w:val="20"/>
        </w:rPr>
        <w:footnoteRef/>
      </w:r>
      <w:r w:rsidRPr="002A7B04">
        <w:rPr>
          <w:sz w:val="20"/>
          <w:szCs w:val="20"/>
        </w:rPr>
        <w:t xml:space="preserve"> Indonesia</w:t>
      </w:r>
      <w:r w:rsidRPr="002A7B04">
        <w:rPr>
          <w:sz w:val="20"/>
          <w:szCs w:val="20"/>
          <w:lang w:val="en-US"/>
        </w:rPr>
        <w:t xml:space="preserve"> is also committed to establishing marine protected areas: over 20 million hectares by 2020 and 30 million hectares by 2030. In February 2016, </w:t>
      </w:r>
      <w:r w:rsidRPr="002A7B04">
        <w:rPr>
          <w:sz w:val="20"/>
          <w:szCs w:val="20"/>
        </w:rPr>
        <w:t>M</w:t>
      </w:r>
      <w:r>
        <w:rPr>
          <w:sz w:val="20"/>
          <w:szCs w:val="20"/>
        </w:rPr>
        <w:t>arine Protected Areas (M</w:t>
      </w:r>
      <w:r w:rsidRPr="002A7B04">
        <w:rPr>
          <w:sz w:val="20"/>
          <w:szCs w:val="20"/>
        </w:rPr>
        <w:t>PAs</w:t>
      </w:r>
      <w:r>
        <w:rPr>
          <w:sz w:val="20"/>
          <w:szCs w:val="20"/>
        </w:rPr>
        <w:t>)</w:t>
      </w:r>
      <w:r w:rsidRPr="002A7B04">
        <w:rPr>
          <w:sz w:val="20"/>
          <w:szCs w:val="20"/>
        </w:rPr>
        <w:t xml:space="preserve"> </w:t>
      </w:r>
      <w:r w:rsidRPr="002A7B04">
        <w:rPr>
          <w:sz w:val="20"/>
          <w:szCs w:val="20"/>
          <w:lang w:val="en-US"/>
        </w:rPr>
        <w:t xml:space="preserve">already covered over 17 million hectares. They are managed jointly by </w:t>
      </w:r>
      <w:r w:rsidRPr="002A7B04">
        <w:rPr>
          <w:sz w:val="20"/>
          <w:szCs w:val="20"/>
        </w:rPr>
        <w:t xml:space="preserve">MMAF </w:t>
      </w:r>
      <w:r w:rsidRPr="002A7B04">
        <w:rPr>
          <w:sz w:val="20"/>
          <w:szCs w:val="20"/>
          <w:lang w:val="en-US"/>
        </w:rPr>
        <w:t xml:space="preserve">and the Ministry of Environment and Forestry. MPA policies are beyond the scope of this paper. </w:t>
      </w:r>
    </w:p>
    <w:p w:rsidR="00B6220B" w:rsidRPr="002A7B04" w:rsidRDefault="00B6220B" w:rsidP="00581E54">
      <w:pPr>
        <w:pStyle w:val="Footer"/>
        <w:rPr>
          <w:sz w:val="20"/>
          <w:szCs w:val="20"/>
          <w:lang w:val="en-US"/>
        </w:rPr>
      </w:pPr>
    </w:p>
  </w:footnote>
  <w:footnote w:id="9">
    <w:p w:rsidR="00B6220B" w:rsidRPr="002C0E36" w:rsidRDefault="00B6220B" w:rsidP="004D0C8E">
      <w:pPr>
        <w:pStyle w:val="FootnoteText"/>
      </w:pPr>
      <w:r>
        <w:rPr>
          <w:rStyle w:val="FootnoteReference"/>
        </w:rPr>
        <w:footnoteRef/>
      </w:r>
      <w:r>
        <w:t xml:space="preserve"> Indonesia </w:t>
      </w:r>
      <w:r>
        <w:rPr>
          <w:rFonts w:eastAsiaTheme="minorHAnsi"/>
        </w:rPr>
        <w:t xml:space="preserve">has signed the </w:t>
      </w:r>
      <w:r>
        <w:t xml:space="preserve">UN Convention on Biological Diversity (CBD), the Convention to Combat Desertification (CCD), the Framework Convention on Climate Change (UNFCCC) and the Kyoto Protocol. In addition, National Communications on Climate Change were adopted in 1999 and 2011, the National Commission on Clean Development Mechanisms was established in 2005, the </w:t>
      </w:r>
      <w:r w:rsidRPr="00847EE4">
        <w:rPr>
          <w:rFonts w:eastAsiaTheme="minorHAnsi"/>
        </w:rPr>
        <w:t xml:space="preserve">National Action Plan on Climate Change Adaptation </w:t>
      </w:r>
      <w:r>
        <w:t xml:space="preserve">was adopted in 2007 and the Indonesian Climate Change </w:t>
      </w:r>
      <w:proofErr w:type="spellStart"/>
      <w:r>
        <w:t>Sectoral</w:t>
      </w:r>
      <w:proofErr w:type="spellEnd"/>
      <w:r>
        <w:t xml:space="preserve"> Roadmap was defined </w:t>
      </w:r>
      <w:proofErr w:type="gramStart"/>
      <w:r>
        <w:t>in  2010</w:t>
      </w:r>
      <w:proofErr w:type="gramEnd"/>
      <w:r>
        <w:t>.</w:t>
      </w:r>
    </w:p>
  </w:footnote>
  <w:footnote w:id="10">
    <w:p w:rsidR="00B6220B" w:rsidRPr="00853F8D" w:rsidRDefault="00B6220B" w:rsidP="00A5245B">
      <w:pPr>
        <w:pStyle w:val="FootnoteText"/>
      </w:pPr>
      <w:r>
        <w:rPr>
          <w:rStyle w:val="FootnoteReference"/>
        </w:rPr>
        <w:footnoteRef/>
      </w:r>
      <w:r>
        <w:t xml:space="preserve"> </w:t>
      </w:r>
      <w:r w:rsidRPr="00853F8D">
        <w:t>Artificial breeding for crabs i</w:t>
      </w:r>
      <w:r>
        <w:t xml:space="preserve">s technically feasible, but in the absence of control mechanisms allowing differentiation between wild and cultured crabs, hatcheries have not yet been authorised. Lobster breeding, on the other hand, is not yet technically operational.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0B" w:rsidRPr="00B02A67" w:rsidRDefault="00B6220B" w:rsidP="00B02A67">
    <w:pPr>
      <w:pStyle w:val="Header"/>
    </w:pPr>
    <w:r>
      <w:t>TAD/</w:t>
    </w:r>
    <w:proofErr w:type="gramStart"/>
    <w:r>
      <w:t>FI(</w:t>
    </w:r>
    <w:proofErr w:type="gramEnd"/>
    <w:r>
      <w:t>2016)14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0B" w:rsidRPr="00B02A67" w:rsidRDefault="00B6220B" w:rsidP="00B02A67">
    <w:pPr>
      <w:pStyle w:val="Header"/>
      <w:tabs>
        <w:tab w:val="clear" w:pos="4536"/>
        <w:tab w:val="clear" w:pos="9072"/>
        <w:tab w:val="right" w:pos="9411"/>
      </w:tabs>
    </w:pPr>
    <w:r>
      <w:tab/>
      <w:t>TAD/</w:t>
    </w:r>
    <w:proofErr w:type="gramStart"/>
    <w:r>
      <w:t>FI(</w:t>
    </w:r>
    <w:proofErr w:type="gramEnd"/>
    <w:r>
      <w:t>2016)14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3FA"/>
    <w:multiLevelType w:val="hybridMultilevel"/>
    <w:tmpl w:val="AC909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2">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nsid w:val="0CF9557C"/>
    <w:multiLevelType w:val="hybridMultilevel"/>
    <w:tmpl w:val="9A86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6">
    <w:nsid w:val="112972E3"/>
    <w:multiLevelType w:val="hybridMultilevel"/>
    <w:tmpl w:val="7A62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8">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9">
    <w:nsid w:val="1F5404D6"/>
    <w:multiLevelType w:val="hybridMultilevel"/>
    <w:tmpl w:val="4A028D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1">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2">
    <w:nsid w:val="2DD80509"/>
    <w:multiLevelType w:val="hybridMultilevel"/>
    <w:tmpl w:val="BB84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8C4000"/>
    <w:multiLevelType w:val="hybridMultilevel"/>
    <w:tmpl w:val="F584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5D0A84"/>
    <w:multiLevelType w:val="multilevel"/>
    <w:tmpl w:val="7F148E5C"/>
    <w:name w:val="templateNumberBox"/>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5">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0A539AC"/>
    <w:multiLevelType w:val="hybridMultilevel"/>
    <w:tmpl w:val="98B008C8"/>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nsid w:val="40E55CB8"/>
    <w:multiLevelType w:val="hybridMultilevel"/>
    <w:tmpl w:val="AC909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076953"/>
    <w:multiLevelType w:val="hybridMultilevel"/>
    <w:tmpl w:val="AC909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1">
    <w:nsid w:val="4A4332D2"/>
    <w:multiLevelType w:val="hybridMultilevel"/>
    <w:tmpl w:val="D78E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3">
    <w:nsid w:val="534414B2"/>
    <w:multiLevelType w:val="hybridMultilevel"/>
    <w:tmpl w:val="FB36F200"/>
    <w:lvl w:ilvl="0" w:tplc="3016082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538C6726"/>
    <w:multiLevelType w:val="hybridMultilevel"/>
    <w:tmpl w:val="DFB2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6">
    <w:nsid w:val="5B1D23AA"/>
    <w:multiLevelType w:val="hybridMultilevel"/>
    <w:tmpl w:val="16644F4C"/>
    <w:lvl w:ilvl="0" w:tplc="AAECBEB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28">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num w:numId="1">
    <w:abstractNumId w:val="7"/>
  </w:num>
  <w:num w:numId="2">
    <w:abstractNumId w:val="3"/>
  </w:num>
  <w:num w:numId="3">
    <w:abstractNumId w:val="5"/>
  </w:num>
  <w:num w:numId="4">
    <w:abstractNumId w:val="19"/>
  </w:num>
  <w:num w:numId="5">
    <w:abstractNumId w:val="1"/>
  </w:num>
  <w:num w:numId="6">
    <w:abstractNumId w:val="11"/>
  </w:num>
  <w:num w:numId="7">
    <w:abstractNumId w:val="20"/>
  </w:num>
  <w:num w:numId="8">
    <w:abstractNumId w:val="25"/>
  </w:num>
  <w:num w:numId="9">
    <w:abstractNumId w:val="27"/>
  </w:num>
  <w:num w:numId="10">
    <w:abstractNumId w:val="15"/>
  </w:num>
  <w:num w:numId="11">
    <w:abstractNumId w:val="28"/>
  </w:num>
  <w:num w:numId="12">
    <w:abstractNumId w:val="22"/>
  </w:num>
  <w:num w:numId="13">
    <w:abstractNumId w:val="2"/>
  </w:num>
  <w:num w:numId="14">
    <w:abstractNumId w:val="14"/>
  </w:num>
  <w:num w:numId="15">
    <w:abstractNumId w:val="8"/>
  </w:num>
  <w:num w:numId="16">
    <w:abstractNumId w:val="10"/>
  </w:num>
  <w:num w:numId="17">
    <w:abstractNumId w:val="16"/>
  </w:num>
  <w:num w:numId="18">
    <w:abstractNumId w:val="23"/>
  </w:num>
  <w:num w:numId="19">
    <w:abstractNumId w:val="26"/>
  </w:num>
  <w:num w:numId="20">
    <w:abstractNumId w:val="6"/>
  </w:num>
  <w:num w:numId="21">
    <w:abstractNumId w:val="17"/>
  </w:num>
  <w:num w:numId="22">
    <w:abstractNumId w:val="18"/>
  </w:num>
  <w:num w:numId="23">
    <w:abstractNumId w:val="0"/>
  </w:num>
  <w:num w:numId="24">
    <w:abstractNumId w:val="21"/>
  </w:num>
  <w:num w:numId="25">
    <w:abstractNumId w:val="24"/>
  </w:num>
  <w:num w:numId="26">
    <w:abstractNumId w:val="9"/>
  </w:num>
  <w:num w:numId="27">
    <w:abstractNumId w:val="13"/>
  </w:num>
  <w:num w:numId="28">
    <w:abstractNumId w:val="4"/>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34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2"/>
  </w:compat>
  <w:docVars>
    <w:docVar w:name="Classification" w:val="For Official Use"/>
    <w:docVar w:name="Cote" w:val="TAD/FI(2016)14"/>
    <w:docVar w:name="DOCTYPE" w:val="NORMAL"/>
    <w:docVar w:name="DocumentStyle" w:val="Standard OECD document"/>
    <w:docVar w:name="IsPublication" w:val="0"/>
    <w:docVar w:name="Language" w:val="English"/>
    <w:docVar w:name="PGLANDSCAPE" w:val="0"/>
    <w:docVar w:name="SEND_TO_RMS" w:val="1"/>
  </w:docVars>
  <w:rsids>
    <w:rsidRoot w:val="00B02A67"/>
    <w:rsid w:val="00003630"/>
    <w:rsid w:val="00006D14"/>
    <w:rsid w:val="000107C7"/>
    <w:rsid w:val="00012BB5"/>
    <w:rsid w:val="00013507"/>
    <w:rsid w:val="00016EA8"/>
    <w:rsid w:val="0002207E"/>
    <w:rsid w:val="00023158"/>
    <w:rsid w:val="00026A6F"/>
    <w:rsid w:val="000277BD"/>
    <w:rsid w:val="00030BE9"/>
    <w:rsid w:val="00037B1B"/>
    <w:rsid w:val="00043A04"/>
    <w:rsid w:val="00043F0D"/>
    <w:rsid w:val="0005051B"/>
    <w:rsid w:val="00051FA7"/>
    <w:rsid w:val="000524ED"/>
    <w:rsid w:val="000623DD"/>
    <w:rsid w:val="00062435"/>
    <w:rsid w:val="000648E2"/>
    <w:rsid w:val="00064AE0"/>
    <w:rsid w:val="00072CC3"/>
    <w:rsid w:val="00073D64"/>
    <w:rsid w:val="000747BA"/>
    <w:rsid w:val="00075A6C"/>
    <w:rsid w:val="00080441"/>
    <w:rsid w:val="00081595"/>
    <w:rsid w:val="00083DCF"/>
    <w:rsid w:val="00090970"/>
    <w:rsid w:val="00091DEB"/>
    <w:rsid w:val="00093EF2"/>
    <w:rsid w:val="000950F2"/>
    <w:rsid w:val="00095F6F"/>
    <w:rsid w:val="00096923"/>
    <w:rsid w:val="000976E5"/>
    <w:rsid w:val="000A0550"/>
    <w:rsid w:val="000A0CAF"/>
    <w:rsid w:val="000A2325"/>
    <w:rsid w:val="000A6707"/>
    <w:rsid w:val="000A6F40"/>
    <w:rsid w:val="000A7753"/>
    <w:rsid w:val="000B05EA"/>
    <w:rsid w:val="000B1B6F"/>
    <w:rsid w:val="000B2B7D"/>
    <w:rsid w:val="000B2E4A"/>
    <w:rsid w:val="000B3610"/>
    <w:rsid w:val="000B4911"/>
    <w:rsid w:val="000B4C03"/>
    <w:rsid w:val="000B52FA"/>
    <w:rsid w:val="000B5D74"/>
    <w:rsid w:val="000B7EEB"/>
    <w:rsid w:val="000C0473"/>
    <w:rsid w:val="000C1B3A"/>
    <w:rsid w:val="000C5D65"/>
    <w:rsid w:val="000D35FA"/>
    <w:rsid w:val="000D3D41"/>
    <w:rsid w:val="000D404B"/>
    <w:rsid w:val="000D442A"/>
    <w:rsid w:val="000D527A"/>
    <w:rsid w:val="000D72E3"/>
    <w:rsid w:val="000D77F0"/>
    <w:rsid w:val="000D7B67"/>
    <w:rsid w:val="000E2EDE"/>
    <w:rsid w:val="000E326E"/>
    <w:rsid w:val="000E32CA"/>
    <w:rsid w:val="000E5A5F"/>
    <w:rsid w:val="000E5B74"/>
    <w:rsid w:val="000F4244"/>
    <w:rsid w:val="000F4E7A"/>
    <w:rsid w:val="000F5501"/>
    <w:rsid w:val="000F581A"/>
    <w:rsid w:val="000F60FD"/>
    <w:rsid w:val="00100D5B"/>
    <w:rsid w:val="00101A68"/>
    <w:rsid w:val="001025CA"/>
    <w:rsid w:val="00105B98"/>
    <w:rsid w:val="001063A3"/>
    <w:rsid w:val="00106A3B"/>
    <w:rsid w:val="00110633"/>
    <w:rsid w:val="00111989"/>
    <w:rsid w:val="00111C3F"/>
    <w:rsid w:val="00112192"/>
    <w:rsid w:val="001144A2"/>
    <w:rsid w:val="00115368"/>
    <w:rsid w:val="00123AD1"/>
    <w:rsid w:val="00124BCB"/>
    <w:rsid w:val="00125645"/>
    <w:rsid w:val="00130A6D"/>
    <w:rsid w:val="001341B1"/>
    <w:rsid w:val="00135100"/>
    <w:rsid w:val="00136929"/>
    <w:rsid w:val="001408F3"/>
    <w:rsid w:val="001416D8"/>
    <w:rsid w:val="0014175F"/>
    <w:rsid w:val="00143626"/>
    <w:rsid w:val="0014420B"/>
    <w:rsid w:val="00145AA8"/>
    <w:rsid w:val="0014603E"/>
    <w:rsid w:val="001507E1"/>
    <w:rsid w:val="00153184"/>
    <w:rsid w:val="00154ECC"/>
    <w:rsid w:val="00155097"/>
    <w:rsid w:val="001577BB"/>
    <w:rsid w:val="00157D4F"/>
    <w:rsid w:val="0016005B"/>
    <w:rsid w:val="001626CE"/>
    <w:rsid w:val="0016316F"/>
    <w:rsid w:val="00163AE4"/>
    <w:rsid w:val="00164FB6"/>
    <w:rsid w:val="001774E4"/>
    <w:rsid w:val="001825FA"/>
    <w:rsid w:val="0018271C"/>
    <w:rsid w:val="00183907"/>
    <w:rsid w:val="00183CBE"/>
    <w:rsid w:val="00185B50"/>
    <w:rsid w:val="0019465B"/>
    <w:rsid w:val="001966C2"/>
    <w:rsid w:val="001A047D"/>
    <w:rsid w:val="001A1630"/>
    <w:rsid w:val="001A3555"/>
    <w:rsid w:val="001A35CE"/>
    <w:rsid w:val="001A3CE3"/>
    <w:rsid w:val="001A4DAD"/>
    <w:rsid w:val="001B2665"/>
    <w:rsid w:val="001B4D4D"/>
    <w:rsid w:val="001C07B9"/>
    <w:rsid w:val="001C33E2"/>
    <w:rsid w:val="001C7116"/>
    <w:rsid w:val="001D13A0"/>
    <w:rsid w:val="001D4D18"/>
    <w:rsid w:val="001D6B60"/>
    <w:rsid w:val="001D7E68"/>
    <w:rsid w:val="001E019E"/>
    <w:rsid w:val="001E1161"/>
    <w:rsid w:val="001E31B1"/>
    <w:rsid w:val="001E41D3"/>
    <w:rsid w:val="001E47A7"/>
    <w:rsid w:val="001E50F7"/>
    <w:rsid w:val="001E58D6"/>
    <w:rsid w:val="001E5B30"/>
    <w:rsid w:val="001E6592"/>
    <w:rsid w:val="001E77AA"/>
    <w:rsid w:val="001E7D9C"/>
    <w:rsid w:val="001F0E9F"/>
    <w:rsid w:val="001F0F8E"/>
    <w:rsid w:val="001F74D2"/>
    <w:rsid w:val="002011FC"/>
    <w:rsid w:val="00204574"/>
    <w:rsid w:val="00205BBA"/>
    <w:rsid w:val="002073BE"/>
    <w:rsid w:val="00207B6D"/>
    <w:rsid w:val="00214352"/>
    <w:rsid w:val="002149F7"/>
    <w:rsid w:val="002153E4"/>
    <w:rsid w:val="00216A60"/>
    <w:rsid w:val="00216BD0"/>
    <w:rsid w:val="00226862"/>
    <w:rsid w:val="00233AD1"/>
    <w:rsid w:val="002344FF"/>
    <w:rsid w:val="00235046"/>
    <w:rsid w:val="002357C2"/>
    <w:rsid w:val="00240A2F"/>
    <w:rsid w:val="00240B1A"/>
    <w:rsid w:val="002418AE"/>
    <w:rsid w:val="00241C53"/>
    <w:rsid w:val="00241D62"/>
    <w:rsid w:val="00245575"/>
    <w:rsid w:val="00245E4A"/>
    <w:rsid w:val="00245E86"/>
    <w:rsid w:val="00246F8E"/>
    <w:rsid w:val="00251E15"/>
    <w:rsid w:val="00251ED3"/>
    <w:rsid w:val="00253409"/>
    <w:rsid w:val="00254333"/>
    <w:rsid w:val="00254CC4"/>
    <w:rsid w:val="0025599A"/>
    <w:rsid w:val="00256C7A"/>
    <w:rsid w:val="002618D4"/>
    <w:rsid w:val="00261FE7"/>
    <w:rsid w:val="00262AF1"/>
    <w:rsid w:val="00262B63"/>
    <w:rsid w:val="00263793"/>
    <w:rsid w:val="00273602"/>
    <w:rsid w:val="00273B3E"/>
    <w:rsid w:val="002777BA"/>
    <w:rsid w:val="002809AB"/>
    <w:rsid w:val="00284404"/>
    <w:rsid w:val="002844A2"/>
    <w:rsid w:val="002844C2"/>
    <w:rsid w:val="00285809"/>
    <w:rsid w:val="00286834"/>
    <w:rsid w:val="00287892"/>
    <w:rsid w:val="00291355"/>
    <w:rsid w:val="00291FE8"/>
    <w:rsid w:val="0029414F"/>
    <w:rsid w:val="00294922"/>
    <w:rsid w:val="00294A3D"/>
    <w:rsid w:val="00296162"/>
    <w:rsid w:val="00297F71"/>
    <w:rsid w:val="002A2609"/>
    <w:rsid w:val="002A4969"/>
    <w:rsid w:val="002A58D7"/>
    <w:rsid w:val="002A6ED9"/>
    <w:rsid w:val="002A7B04"/>
    <w:rsid w:val="002B47BA"/>
    <w:rsid w:val="002B4A49"/>
    <w:rsid w:val="002B6099"/>
    <w:rsid w:val="002B6A91"/>
    <w:rsid w:val="002C0E36"/>
    <w:rsid w:val="002C3307"/>
    <w:rsid w:val="002C546B"/>
    <w:rsid w:val="002C5FEB"/>
    <w:rsid w:val="002C7E76"/>
    <w:rsid w:val="002D499D"/>
    <w:rsid w:val="002D58E6"/>
    <w:rsid w:val="002D6B2F"/>
    <w:rsid w:val="002D7681"/>
    <w:rsid w:val="002D7B8A"/>
    <w:rsid w:val="002E1DAF"/>
    <w:rsid w:val="002E30DD"/>
    <w:rsid w:val="002E3C4C"/>
    <w:rsid w:val="002E5233"/>
    <w:rsid w:val="002E6296"/>
    <w:rsid w:val="002E7A14"/>
    <w:rsid w:val="002F227C"/>
    <w:rsid w:val="002F3B2F"/>
    <w:rsid w:val="002F5CF1"/>
    <w:rsid w:val="00300148"/>
    <w:rsid w:val="0030014E"/>
    <w:rsid w:val="00300AD2"/>
    <w:rsid w:val="00303DCA"/>
    <w:rsid w:val="00304A45"/>
    <w:rsid w:val="0030685F"/>
    <w:rsid w:val="00307CD3"/>
    <w:rsid w:val="0031112A"/>
    <w:rsid w:val="0031479D"/>
    <w:rsid w:val="00320681"/>
    <w:rsid w:val="003250BF"/>
    <w:rsid w:val="00330D69"/>
    <w:rsid w:val="00332305"/>
    <w:rsid w:val="003351F8"/>
    <w:rsid w:val="003374B9"/>
    <w:rsid w:val="00343C30"/>
    <w:rsid w:val="00350478"/>
    <w:rsid w:val="00351508"/>
    <w:rsid w:val="00351A14"/>
    <w:rsid w:val="003524DE"/>
    <w:rsid w:val="00361B46"/>
    <w:rsid w:val="00363BAE"/>
    <w:rsid w:val="00370ADB"/>
    <w:rsid w:val="0037121B"/>
    <w:rsid w:val="003742E2"/>
    <w:rsid w:val="00374B7C"/>
    <w:rsid w:val="00380174"/>
    <w:rsid w:val="0038042D"/>
    <w:rsid w:val="00380C05"/>
    <w:rsid w:val="003810A1"/>
    <w:rsid w:val="003859B6"/>
    <w:rsid w:val="003922AB"/>
    <w:rsid w:val="0039451B"/>
    <w:rsid w:val="003966DF"/>
    <w:rsid w:val="00396BD7"/>
    <w:rsid w:val="00397D85"/>
    <w:rsid w:val="00397E8E"/>
    <w:rsid w:val="003A0B4F"/>
    <w:rsid w:val="003A1FD3"/>
    <w:rsid w:val="003A383D"/>
    <w:rsid w:val="003A38AE"/>
    <w:rsid w:val="003A436E"/>
    <w:rsid w:val="003A4CF3"/>
    <w:rsid w:val="003A73FE"/>
    <w:rsid w:val="003B0C0D"/>
    <w:rsid w:val="003B21D5"/>
    <w:rsid w:val="003B2680"/>
    <w:rsid w:val="003B2DCD"/>
    <w:rsid w:val="003C107A"/>
    <w:rsid w:val="003C622D"/>
    <w:rsid w:val="003C6D1A"/>
    <w:rsid w:val="003C7607"/>
    <w:rsid w:val="003C7CEF"/>
    <w:rsid w:val="003D11B6"/>
    <w:rsid w:val="003D2653"/>
    <w:rsid w:val="003D4272"/>
    <w:rsid w:val="003E085B"/>
    <w:rsid w:val="003E25AE"/>
    <w:rsid w:val="003E36AF"/>
    <w:rsid w:val="003E3A9A"/>
    <w:rsid w:val="003E5BF8"/>
    <w:rsid w:val="003E60FC"/>
    <w:rsid w:val="003E6C0B"/>
    <w:rsid w:val="003E708A"/>
    <w:rsid w:val="003F3442"/>
    <w:rsid w:val="003F386A"/>
    <w:rsid w:val="003F4521"/>
    <w:rsid w:val="003F5E80"/>
    <w:rsid w:val="00400D01"/>
    <w:rsid w:val="00401084"/>
    <w:rsid w:val="00402F92"/>
    <w:rsid w:val="00411683"/>
    <w:rsid w:val="004117AB"/>
    <w:rsid w:val="00412F47"/>
    <w:rsid w:val="0041621C"/>
    <w:rsid w:val="00421D26"/>
    <w:rsid w:val="004224E2"/>
    <w:rsid w:val="0042318E"/>
    <w:rsid w:val="00424ADB"/>
    <w:rsid w:val="00425836"/>
    <w:rsid w:val="00431CD3"/>
    <w:rsid w:val="00433CA3"/>
    <w:rsid w:val="0043404E"/>
    <w:rsid w:val="00434762"/>
    <w:rsid w:val="00441DF8"/>
    <w:rsid w:val="004437F2"/>
    <w:rsid w:val="0044583F"/>
    <w:rsid w:val="00446C1B"/>
    <w:rsid w:val="00447315"/>
    <w:rsid w:val="004474FB"/>
    <w:rsid w:val="00450754"/>
    <w:rsid w:val="00451C6E"/>
    <w:rsid w:val="00453A31"/>
    <w:rsid w:val="00454837"/>
    <w:rsid w:val="00455FC7"/>
    <w:rsid w:val="00457E02"/>
    <w:rsid w:val="004638D3"/>
    <w:rsid w:val="00465C63"/>
    <w:rsid w:val="00466CC1"/>
    <w:rsid w:val="00467B7F"/>
    <w:rsid w:val="00472E32"/>
    <w:rsid w:val="00473031"/>
    <w:rsid w:val="00473108"/>
    <w:rsid w:val="00476569"/>
    <w:rsid w:val="00477233"/>
    <w:rsid w:val="00477E6F"/>
    <w:rsid w:val="00477EE8"/>
    <w:rsid w:val="00482933"/>
    <w:rsid w:val="00484B26"/>
    <w:rsid w:val="00486D80"/>
    <w:rsid w:val="00490502"/>
    <w:rsid w:val="00492D8D"/>
    <w:rsid w:val="00494738"/>
    <w:rsid w:val="004A03B5"/>
    <w:rsid w:val="004A1E40"/>
    <w:rsid w:val="004A2D61"/>
    <w:rsid w:val="004B1188"/>
    <w:rsid w:val="004B2985"/>
    <w:rsid w:val="004B3153"/>
    <w:rsid w:val="004B51BE"/>
    <w:rsid w:val="004B5FBA"/>
    <w:rsid w:val="004B6757"/>
    <w:rsid w:val="004B74CE"/>
    <w:rsid w:val="004C0D2A"/>
    <w:rsid w:val="004C2A1E"/>
    <w:rsid w:val="004C3F27"/>
    <w:rsid w:val="004C4854"/>
    <w:rsid w:val="004C552D"/>
    <w:rsid w:val="004C5A8F"/>
    <w:rsid w:val="004C6D31"/>
    <w:rsid w:val="004D03EE"/>
    <w:rsid w:val="004D0C8E"/>
    <w:rsid w:val="004D380B"/>
    <w:rsid w:val="004D73F8"/>
    <w:rsid w:val="004E1B8E"/>
    <w:rsid w:val="004E2B47"/>
    <w:rsid w:val="004F0E65"/>
    <w:rsid w:val="004F2AAD"/>
    <w:rsid w:val="004F2E21"/>
    <w:rsid w:val="004F4CF5"/>
    <w:rsid w:val="004F5A35"/>
    <w:rsid w:val="004F6418"/>
    <w:rsid w:val="004F67B4"/>
    <w:rsid w:val="004F709C"/>
    <w:rsid w:val="00501B1D"/>
    <w:rsid w:val="00507CDA"/>
    <w:rsid w:val="00510B29"/>
    <w:rsid w:val="00510B7C"/>
    <w:rsid w:val="00512B42"/>
    <w:rsid w:val="00515792"/>
    <w:rsid w:val="00516DB0"/>
    <w:rsid w:val="00520D59"/>
    <w:rsid w:val="00523A2E"/>
    <w:rsid w:val="005254AA"/>
    <w:rsid w:val="00527101"/>
    <w:rsid w:val="00527E22"/>
    <w:rsid w:val="00527E8D"/>
    <w:rsid w:val="00530623"/>
    <w:rsid w:val="00531C0C"/>
    <w:rsid w:val="005329CA"/>
    <w:rsid w:val="00534C89"/>
    <w:rsid w:val="00541A21"/>
    <w:rsid w:val="00542BF9"/>
    <w:rsid w:val="00543200"/>
    <w:rsid w:val="00545D26"/>
    <w:rsid w:val="00545FFC"/>
    <w:rsid w:val="005463AD"/>
    <w:rsid w:val="0054643F"/>
    <w:rsid w:val="0054680A"/>
    <w:rsid w:val="00546C93"/>
    <w:rsid w:val="00556969"/>
    <w:rsid w:val="00557C19"/>
    <w:rsid w:val="005629A7"/>
    <w:rsid w:val="00562A0A"/>
    <w:rsid w:val="00564CD3"/>
    <w:rsid w:val="00565A8C"/>
    <w:rsid w:val="0056770F"/>
    <w:rsid w:val="00570C05"/>
    <w:rsid w:val="0057128A"/>
    <w:rsid w:val="00572B2B"/>
    <w:rsid w:val="00574EC3"/>
    <w:rsid w:val="00574F7E"/>
    <w:rsid w:val="00576F2B"/>
    <w:rsid w:val="00581CBF"/>
    <w:rsid w:val="00581E54"/>
    <w:rsid w:val="0058284F"/>
    <w:rsid w:val="00584352"/>
    <w:rsid w:val="00584431"/>
    <w:rsid w:val="005905E1"/>
    <w:rsid w:val="00593A69"/>
    <w:rsid w:val="00593FDF"/>
    <w:rsid w:val="00594846"/>
    <w:rsid w:val="00594C8F"/>
    <w:rsid w:val="00595580"/>
    <w:rsid w:val="00596937"/>
    <w:rsid w:val="005A7776"/>
    <w:rsid w:val="005A7A07"/>
    <w:rsid w:val="005B0126"/>
    <w:rsid w:val="005B6EE6"/>
    <w:rsid w:val="005B74DA"/>
    <w:rsid w:val="005C2256"/>
    <w:rsid w:val="005C759F"/>
    <w:rsid w:val="005C7927"/>
    <w:rsid w:val="005C7E3D"/>
    <w:rsid w:val="005D053F"/>
    <w:rsid w:val="005D0C2E"/>
    <w:rsid w:val="005D16A6"/>
    <w:rsid w:val="005D4361"/>
    <w:rsid w:val="005D5228"/>
    <w:rsid w:val="005D61A0"/>
    <w:rsid w:val="005D7FCB"/>
    <w:rsid w:val="005E28A4"/>
    <w:rsid w:val="005E36EE"/>
    <w:rsid w:val="005E5767"/>
    <w:rsid w:val="005E6D2C"/>
    <w:rsid w:val="005F35B7"/>
    <w:rsid w:val="005F4E87"/>
    <w:rsid w:val="005F7841"/>
    <w:rsid w:val="00601C92"/>
    <w:rsid w:val="00602DC4"/>
    <w:rsid w:val="006032A8"/>
    <w:rsid w:val="0060363C"/>
    <w:rsid w:val="00603A81"/>
    <w:rsid w:val="0060727F"/>
    <w:rsid w:val="00607404"/>
    <w:rsid w:val="006078A1"/>
    <w:rsid w:val="006078F3"/>
    <w:rsid w:val="00614861"/>
    <w:rsid w:val="00627983"/>
    <w:rsid w:val="00627A77"/>
    <w:rsid w:val="00633BF6"/>
    <w:rsid w:val="006351B0"/>
    <w:rsid w:val="00635D66"/>
    <w:rsid w:val="0063623C"/>
    <w:rsid w:val="006369D4"/>
    <w:rsid w:val="0064057B"/>
    <w:rsid w:val="006411B6"/>
    <w:rsid w:val="00641AE9"/>
    <w:rsid w:val="00641F17"/>
    <w:rsid w:val="006427C1"/>
    <w:rsid w:val="006465FE"/>
    <w:rsid w:val="00651738"/>
    <w:rsid w:val="00651A18"/>
    <w:rsid w:val="00655B38"/>
    <w:rsid w:val="006563A2"/>
    <w:rsid w:val="006571C7"/>
    <w:rsid w:val="006602F2"/>
    <w:rsid w:val="0066412A"/>
    <w:rsid w:val="00665776"/>
    <w:rsid w:val="00665B04"/>
    <w:rsid w:val="00667965"/>
    <w:rsid w:val="00671A99"/>
    <w:rsid w:val="00674C6B"/>
    <w:rsid w:val="00676495"/>
    <w:rsid w:val="0068088A"/>
    <w:rsid w:val="00682324"/>
    <w:rsid w:val="006834E9"/>
    <w:rsid w:val="006856F2"/>
    <w:rsid w:val="00685C2D"/>
    <w:rsid w:val="00690317"/>
    <w:rsid w:val="006955F8"/>
    <w:rsid w:val="006A054A"/>
    <w:rsid w:val="006A437C"/>
    <w:rsid w:val="006A4628"/>
    <w:rsid w:val="006A7B1E"/>
    <w:rsid w:val="006B0A8F"/>
    <w:rsid w:val="006B27DF"/>
    <w:rsid w:val="006B396C"/>
    <w:rsid w:val="006B6442"/>
    <w:rsid w:val="006C055C"/>
    <w:rsid w:val="006C1B45"/>
    <w:rsid w:val="006C37BC"/>
    <w:rsid w:val="006C510F"/>
    <w:rsid w:val="006C5933"/>
    <w:rsid w:val="006D137E"/>
    <w:rsid w:val="006D150A"/>
    <w:rsid w:val="006D2A7E"/>
    <w:rsid w:val="006D3F3E"/>
    <w:rsid w:val="006D530B"/>
    <w:rsid w:val="006D5445"/>
    <w:rsid w:val="006D6EF2"/>
    <w:rsid w:val="006E1AC2"/>
    <w:rsid w:val="006E2E6D"/>
    <w:rsid w:val="006E4FF9"/>
    <w:rsid w:val="006E531F"/>
    <w:rsid w:val="006E5DBD"/>
    <w:rsid w:val="006E5EB0"/>
    <w:rsid w:val="006E5F72"/>
    <w:rsid w:val="006E72CB"/>
    <w:rsid w:val="006E7541"/>
    <w:rsid w:val="006E78D9"/>
    <w:rsid w:val="006E7D39"/>
    <w:rsid w:val="006F3F44"/>
    <w:rsid w:val="006F5054"/>
    <w:rsid w:val="006F5FEE"/>
    <w:rsid w:val="00702007"/>
    <w:rsid w:val="007023B2"/>
    <w:rsid w:val="0070405B"/>
    <w:rsid w:val="007048A0"/>
    <w:rsid w:val="00705A41"/>
    <w:rsid w:val="00706F46"/>
    <w:rsid w:val="007076CB"/>
    <w:rsid w:val="00711929"/>
    <w:rsid w:val="00712CAC"/>
    <w:rsid w:val="007132A6"/>
    <w:rsid w:val="0071480F"/>
    <w:rsid w:val="00715F39"/>
    <w:rsid w:val="00716CDF"/>
    <w:rsid w:val="00716D87"/>
    <w:rsid w:val="00720175"/>
    <w:rsid w:val="00720C29"/>
    <w:rsid w:val="00722531"/>
    <w:rsid w:val="0072486E"/>
    <w:rsid w:val="0072714B"/>
    <w:rsid w:val="0072767F"/>
    <w:rsid w:val="00727D42"/>
    <w:rsid w:val="00730FF4"/>
    <w:rsid w:val="0073176A"/>
    <w:rsid w:val="007318B3"/>
    <w:rsid w:val="00732755"/>
    <w:rsid w:val="00733176"/>
    <w:rsid w:val="007331BE"/>
    <w:rsid w:val="00733255"/>
    <w:rsid w:val="00737ADA"/>
    <w:rsid w:val="00740EBB"/>
    <w:rsid w:val="007412BC"/>
    <w:rsid w:val="007416FA"/>
    <w:rsid w:val="007431BD"/>
    <w:rsid w:val="007439CD"/>
    <w:rsid w:val="00750A3B"/>
    <w:rsid w:val="00750CD5"/>
    <w:rsid w:val="00750FB4"/>
    <w:rsid w:val="00751711"/>
    <w:rsid w:val="007531C1"/>
    <w:rsid w:val="00754772"/>
    <w:rsid w:val="007560CA"/>
    <w:rsid w:val="00760974"/>
    <w:rsid w:val="007613E9"/>
    <w:rsid w:val="00762520"/>
    <w:rsid w:val="00762B0A"/>
    <w:rsid w:val="00762CB2"/>
    <w:rsid w:val="00762CD2"/>
    <w:rsid w:val="00763583"/>
    <w:rsid w:val="00763A48"/>
    <w:rsid w:val="00763EFF"/>
    <w:rsid w:val="00764254"/>
    <w:rsid w:val="00764299"/>
    <w:rsid w:val="0077031D"/>
    <w:rsid w:val="0077073B"/>
    <w:rsid w:val="00770A48"/>
    <w:rsid w:val="00771CEF"/>
    <w:rsid w:val="00772943"/>
    <w:rsid w:val="00772EDE"/>
    <w:rsid w:val="007739EC"/>
    <w:rsid w:val="00775AA6"/>
    <w:rsid w:val="00775C6B"/>
    <w:rsid w:val="007809AC"/>
    <w:rsid w:val="0078114C"/>
    <w:rsid w:val="00781218"/>
    <w:rsid w:val="00786021"/>
    <w:rsid w:val="00786065"/>
    <w:rsid w:val="00790D68"/>
    <w:rsid w:val="007957D1"/>
    <w:rsid w:val="007958EB"/>
    <w:rsid w:val="007A06D0"/>
    <w:rsid w:val="007A151B"/>
    <w:rsid w:val="007A46D6"/>
    <w:rsid w:val="007A4B66"/>
    <w:rsid w:val="007A5045"/>
    <w:rsid w:val="007A662E"/>
    <w:rsid w:val="007A667E"/>
    <w:rsid w:val="007B65C6"/>
    <w:rsid w:val="007B6D17"/>
    <w:rsid w:val="007C009E"/>
    <w:rsid w:val="007C1498"/>
    <w:rsid w:val="007C2C0E"/>
    <w:rsid w:val="007C3631"/>
    <w:rsid w:val="007C409F"/>
    <w:rsid w:val="007C6030"/>
    <w:rsid w:val="007D0539"/>
    <w:rsid w:val="007D0D74"/>
    <w:rsid w:val="007D343E"/>
    <w:rsid w:val="007D4FED"/>
    <w:rsid w:val="007D69F0"/>
    <w:rsid w:val="007D731E"/>
    <w:rsid w:val="007E33E4"/>
    <w:rsid w:val="007F0D6E"/>
    <w:rsid w:val="007F1E78"/>
    <w:rsid w:val="007F2BF3"/>
    <w:rsid w:val="007F5264"/>
    <w:rsid w:val="007F56F4"/>
    <w:rsid w:val="007F69ED"/>
    <w:rsid w:val="00804EDA"/>
    <w:rsid w:val="00805042"/>
    <w:rsid w:val="00806880"/>
    <w:rsid w:val="00806A16"/>
    <w:rsid w:val="00806B94"/>
    <w:rsid w:val="008074B7"/>
    <w:rsid w:val="00807BFA"/>
    <w:rsid w:val="00813CB0"/>
    <w:rsid w:val="008158BF"/>
    <w:rsid w:val="0081595D"/>
    <w:rsid w:val="00816AE2"/>
    <w:rsid w:val="00817447"/>
    <w:rsid w:val="00817D48"/>
    <w:rsid w:val="00821336"/>
    <w:rsid w:val="00822BB9"/>
    <w:rsid w:val="00824953"/>
    <w:rsid w:val="0082606B"/>
    <w:rsid w:val="0082785F"/>
    <w:rsid w:val="00827C61"/>
    <w:rsid w:val="0083310F"/>
    <w:rsid w:val="008347C6"/>
    <w:rsid w:val="008446C9"/>
    <w:rsid w:val="008462EA"/>
    <w:rsid w:val="00847EE4"/>
    <w:rsid w:val="00852D7A"/>
    <w:rsid w:val="00852E46"/>
    <w:rsid w:val="00853F8D"/>
    <w:rsid w:val="00861352"/>
    <w:rsid w:val="008617C2"/>
    <w:rsid w:val="00861D34"/>
    <w:rsid w:val="00862301"/>
    <w:rsid w:val="00872F65"/>
    <w:rsid w:val="00874A49"/>
    <w:rsid w:val="008802D0"/>
    <w:rsid w:val="00880795"/>
    <w:rsid w:val="00882DC3"/>
    <w:rsid w:val="00884673"/>
    <w:rsid w:val="0088635F"/>
    <w:rsid w:val="00887511"/>
    <w:rsid w:val="00887592"/>
    <w:rsid w:val="00890AE8"/>
    <w:rsid w:val="00892103"/>
    <w:rsid w:val="0089249E"/>
    <w:rsid w:val="008924C5"/>
    <w:rsid w:val="0089336D"/>
    <w:rsid w:val="008940E8"/>
    <w:rsid w:val="00896498"/>
    <w:rsid w:val="008967E5"/>
    <w:rsid w:val="008A0EB7"/>
    <w:rsid w:val="008A2F90"/>
    <w:rsid w:val="008A36CF"/>
    <w:rsid w:val="008A490A"/>
    <w:rsid w:val="008A4AE2"/>
    <w:rsid w:val="008A6114"/>
    <w:rsid w:val="008A65C7"/>
    <w:rsid w:val="008A724E"/>
    <w:rsid w:val="008B1C89"/>
    <w:rsid w:val="008B3196"/>
    <w:rsid w:val="008B4DC9"/>
    <w:rsid w:val="008C29D3"/>
    <w:rsid w:val="008C31A5"/>
    <w:rsid w:val="008C5E1B"/>
    <w:rsid w:val="008D4D1E"/>
    <w:rsid w:val="008D6AF0"/>
    <w:rsid w:val="008E0A4E"/>
    <w:rsid w:val="008E2217"/>
    <w:rsid w:val="008E3C12"/>
    <w:rsid w:val="008E4039"/>
    <w:rsid w:val="008E692A"/>
    <w:rsid w:val="008E71AD"/>
    <w:rsid w:val="008E7475"/>
    <w:rsid w:val="008F56FC"/>
    <w:rsid w:val="008F6835"/>
    <w:rsid w:val="008F6938"/>
    <w:rsid w:val="00901794"/>
    <w:rsid w:val="009031C9"/>
    <w:rsid w:val="009078ED"/>
    <w:rsid w:val="00910BD4"/>
    <w:rsid w:val="009110EE"/>
    <w:rsid w:val="0091147C"/>
    <w:rsid w:val="009125AB"/>
    <w:rsid w:val="00912722"/>
    <w:rsid w:val="009144B1"/>
    <w:rsid w:val="009148BD"/>
    <w:rsid w:val="009173AD"/>
    <w:rsid w:val="00925D11"/>
    <w:rsid w:val="009265F3"/>
    <w:rsid w:val="00926837"/>
    <w:rsid w:val="009271CD"/>
    <w:rsid w:val="00930295"/>
    <w:rsid w:val="009304A5"/>
    <w:rsid w:val="00931DF6"/>
    <w:rsid w:val="00933CD3"/>
    <w:rsid w:val="009349E6"/>
    <w:rsid w:val="009358E8"/>
    <w:rsid w:val="009359C0"/>
    <w:rsid w:val="009362B3"/>
    <w:rsid w:val="00936DA8"/>
    <w:rsid w:val="00936FCD"/>
    <w:rsid w:val="009371F8"/>
    <w:rsid w:val="0093766F"/>
    <w:rsid w:val="00937F4F"/>
    <w:rsid w:val="00940BC0"/>
    <w:rsid w:val="00941041"/>
    <w:rsid w:val="009417D4"/>
    <w:rsid w:val="0094380F"/>
    <w:rsid w:val="0094477A"/>
    <w:rsid w:val="009472A8"/>
    <w:rsid w:val="009508CB"/>
    <w:rsid w:val="00951848"/>
    <w:rsid w:val="009539EE"/>
    <w:rsid w:val="00957909"/>
    <w:rsid w:val="00960D55"/>
    <w:rsid w:val="00961256"/>
    <w:rsid w:val="00961957"/>
    <w:rsid w:val="00963656"/>
    <w:rsid w:val="00964BDA"/>
    <w:rsid w:val="009669D7"/>
    <w:rsid w:val="00967213"/>
    <w:rsid w:val="00971808"/>
    <w:rsid w:val="0097262D"/>
    <w:rsid w:val="009778FD"/>
    <w:rsid w:val="00980139"/>
    <w:rsid w:val="00982E79"/>
    <w:rsid w:val="0098317E"/>
    <w:rsid w:val="00983790"/>
    <w:rsid w:val="00984442"/>
    <w:rsid w:val="0098552C"/>
    <w:rsid w:val="009857F1"/>
    <w:rsid w:val="00990017"/>
    <w:rsid w:val="00994229"/>
    <w:rsid w:val="0099549C"/>
    <w:rsid w:val="009977B8"/>
    <w:rsid w:val="009A0344"/>
    <w:rsid w:val="009A0972"/>
    <w:rsid w:val="009A4B64"/>
    <w:rsid w:val="009A6D05"/>
    <w:rsid w:val="009B006A"/>
    <w:rsid w:val="009B14F4"/>
    <w:rsid w:val="009B1B07"/>
    <w:rsid w:val="009B1CD3"/>
    <w:rsid w:val="009B219F"/>
    <w:rsid w:val="009B33D9"/>
    <w:rsid w:val="009B33DE"/>
    <w:rsid w:val="009C247C"/>
    <w:rsid w:val="009C5677"/>
    <w:rsid w:val="009C68B9"/>
    <w:rsid w:val="009C6E7D"/>
    <w:rsid w:val="009C6F85"/>
    <w:rsid w:val="009D07CA"/>
    <w:rsid w:val="009D2B17"/>
    <w:rsid w:val="009D3536"/>
    <w:rsid w:val="009D3B9F"/>
    <w:rsid w:val="009E04AA"/>
    <w:rsid w:val="009E2C22"/>
    <w:rsid w:val="009E306B"/>
    <w:rsid w:val="009E57B9"/>
    <w:rsid w:val="009E5812"/>
    <w:rsid w:val="009E64DC"/>
    <w:rsid w:val="009E76BC"/>
    <w:rsid w:val="009F0ADF"/>
    <w:rsid w:val="009F31D2"/>
    <w:rsid w:val="009F3995"/>
    <w:rsid w:val="009F41B8"/>
    <w:rsid w:val="009F47C9"/>
    <w:rsid w:val="009F48A4"/>
    <w:rsid w:val="009F598B"/>
    <w:rsid w:val="009F6D1D"/>
    <w:rsid w:val="009F7761"/>
    <w:rsid w:val="009F78AC"/>
    <w:rsid w:val="00A035AC"/>
    <w:rsid w:val="00A03F2D"/>
    <w:rsid w:val="00A07672"/>
    <w:rsid w:val="00A105B3"/>
    <w:rsid w:val="00A10DD4"/>
    <w:rsid w:val="00A1134F"/>
    <w:rsid w:val="00A14841"/>
    <w:rsid w:val="00A14D25"/>
    <w:rsid w:val="00A157AF"/>
    <w:rsid w:val="00A15B20"/>
    <w:rsid w:val="00A16C97"/>
    <w:rsid w:val="00A16E26"/>
    <w:rsid w:val="00A175A2"/>
    <w:rsid w:val="00A17ADE"/>
    <w:rsid w:val="00A20382"/>
    <w:rsid w:val="00A227DE"/>
    <w:rsid w:val="00A23A94"/>
    <w:rsid w:val="00A242FD"/>
    <w:rsid w:val="00A30B3D"/>
    <w:rsid w:val="00A31C1D"/>
    <w:rsid w:val="00A32CA2"/>
    <w:rsid w:val="00A32E5D"/>
    <w:rsid w:val="00A33454"/>
    <w:rsid w:val="00A37D8C"/>
    <w:rsid w:val="00A41869"/>
    <w:rsid w:val="00A41C66"/>
    <w:rsid w:val="00A438C3"/>
    <w:rsid w:val="00A461D3"/>
    <w:rsid w:val="00A46A8E"/>
    <w:rsid w:val="00A5245B"/>
    <w:rsid w:val="00A52B1B"/>
    <w:rsid w:val="00A57766"/>
    <w:rsid w:val="00A57B6C"/>
    <w:rsid w:val="00A64276"/>
    <w:rsid w:val="00A657D5"/>
    <w:rsid w:val="00A679D5"/>
    <w:rsid w:val="00A70FC3"/>
    <w:rsid w:val="00A71A66"/>
    <w:rsid w:val="00A71AB7"/>
    <w:rsid w:val="00A7452C"/>
    <w:rsid w:val="00A74957"/>
    <w:rsid w:val="00A74C4B"/>
    <w:rsid w:val="00A75200"/>
    <w:rsid w:val="00A754AC"/>
    <w:rsid w:val="00A75C11"/>
    <w:rsid w:val="00A76637"/>
    <w:rsid w:val="00A76F65"/>
    <w:rsid w:val="00A80926"/>
    <w:rsid w:val="00A80A1E"/>
    <w:rsid w:val="00A815A0"/>
    <w:rsid w:val="00A82EC7"/>
    <w:rsid w:val="00A82FD7"/>
    <w:rsid w:val="00A83DF1"/>
    <w:rsid w:val="00A85906"/>
    <w:rsid w:val="00A85D53"/>
    <w:rsid w:val="00A86486"/>
    <w:rsid w:val="00A86758"/>
    <w:rsid w:val="00A924E6"/>
    <w:rsid w:val="00A9251D"/>
    <w:rsid w:val="00A92947"/>
    <w:rsid w:val="00A93197"/>
    <w:rsid w:val="00A933E2"/>
    <w:rsid w:val="00A9623C"/>
    <w:rsid w:val="00AA05B4"/>
    <w:rsid w:val="00AA2554"/>
    <w:rsid w:val="00AA336B"/>
    <w:rsid w:val="00AA352E"/>
    <w:rsid w:val="00AA7399"/>
    <w:rsid w:val="00AB2E36"/>
    <w:rsid w:val="00AB429B"/>
    <w:rsid w:val="00AB559B"/>
    <w:rsid w:val="00AB57E5"/>
    <w:rsid w:val="00AB5DF7"/>
    <w:rsid w:val="00AB747E"/>
    <w:rsid w:val="00AC0C08"/>
    <w:rsid w:val="00AC2E68"/>
    <w:rsid w:val="00AC5F8F"/>
    <w:rsid w:val="00AD0571"/>
    <w:rsid w:val="00AD17F3"/>
    <w:rsid w:val="00AD188E"/>
    <w:rsid w:val="00AD24A2"/>
    <w:rsid w:val="00AE224A"/>
    <w:rsid w:val="00AE359E"/>
    <w:rsid w:val="00AE6105"/>
    <w:rsid w:val="00AF0B2C"/>
    <w:rsid w:val="00AF1634"/>
    <w:rsid w:val="00AF34D6"/>
    <w:rsid w:val="00AF4353"/>
    <w:rsid w:val="00AF4E35"/>
    <w:rsid w:val="00AF5EF7"/>
    <w:rsid w:val="00AF680A"/>
    <w:rsid w:val="00AF6F2F"/>
    <w:rsid w:val="00AF7DB7"/>
    <w:rsid w:val="00B00B20"/>
    <w:rsid w:val="00B00EE4"/>
    <w:rsid w:val="00B0110F"/>
    <w:rsid w:val="00B01CED"/>
    <w:rsid w:val="00B02A67"/>
    <w:rsid w:val="00B064C8"/>
    <w:rsid w:val="00B12EDE"/>
    <w:rsid w:val="00B16846"/>
    <w:rsid w:val="00B16FD7"/>
    <w:rsid w:val="00B178BF"/>
    <w:rsid w:val="00B17E4B"/>
    <w:rsid w:val="00B2288D"/>
    <w:rsid w:val="00B22FE0"/>
    <w:rsid w:val="00B23536"/>
    <w:rsid w:val="00B24BC6"/>
    <w:rsid w:val="00B24F70"/>
    <w:rsid w:val="00B2599F"/>
    <w:rsid w:val="00B27F63"/>
    <w:rsid w:val="00B3358C"/>
    <w:rsid w:val="00B33BAE"/>
    <w:rsid w:val="00B402FB"/>
    <w:rsid w:val="00B41260"/>
    <w:rsid w:val="00B41A5D"/>
    <w:rsid w:val="00B422AF"/>
    <w:rsid w:val="00B46AC8"/>
    <w:rsid w:val="00B51339"/>
    <w:rsid w:val="00B52E6B"/>
    <w:rsid w:val="00B52EB5"/>
    <w:rsid w:val="00B538F9"/>
    <w:rsid w:val="00B57222"/>
    <w:rsid w:val="00B6220B"/>
    <w:rsid w:val="00B63681"/>
    <w:rsid w:val="00B64BE8"/>
    <w:rsid w:val="00B65766"/>
    <w:rsid w:val="00B7189E"/>
    <w:rsid w:val="00B741B3"/>
    <w:rsid w:val="00B813F4"/>
    <w:rsid w:val="00B85D3A"/>
    <w:rsid w:val="00B870B2"/>
    <w:rsid w:val="00B877C5"/>
    <w:rsid w:val="00B91D0B"/>
    <w:rsid w:val="00B920D4"/>
    <w:rsid w:val="00B92ECD"/>
    <w:rsid w:val="00B937CE"/>
    <w:rsid w:val="00B97D9A"/>
    <w:rsid w:val="00BA003E"/>
    <w:rsid w:val="00BA19FE"/>
    <w:rsid w:val="00BA44F7"/>
    <w:rsid w:val="00BA486E"/>
    <w:rsid w:val="00BB1F57"/>
    <w:rsid w:val="00BB451A"/>
    <w:rsid w:val="00BB6FC6"/>
    <w:rsid w:val="00BB76A8"/>
    <w:rsid w:val="00BC03BB"/>
    <w:rsid w:val="00BC3E6C"/>
    <w:rsid w:val="00BC4008"/>
    <w:rsid w:val="00BC4B7D"/>
    <w:rsid w:val="00BC67E4"/>
    <w:rsid w:val="00BC7BD7"/>
    <w:rsid w:val="00BD07EE"/>
    <w:rsid w:val="00BD2B1C"/>
    <w:rsid w:val="00BD2B93"/>
    <w:rsid w:val="00BD33AD"/>
    <w:rsid w:val="00BD3783"/>
    <w:rsid w:val="00BD636A"/>
    <w:rsid w:val="00BD714F"/>
    <w:rsid w:val="00BD7584"/>
    <w:rsid w:val="00BE1EA3"/>
    <w:rsid w:val="00BE3FED"/>
    <w:rsid w:val="00BE770B"/>
    <w:rsid w:val="00BE7A77"/>
    <w:rsid w:val="00BF0C91"/>
    <w:rsid w:val="00BF3942"/>
    <w:rsid w:val="00BF3EFB"/>
    <w:rsid w:val="00BF5876"/>
    <w:rsid w:val="00BF5B01"/>
    <w:rsid w:val="00BF65D4"/>
    <w:rsid w:val="00BF767A"/>
    <w:rsid w:val="00BF7997"/>
    <w:rsid w:val="00C00801"/>
    <w:rsid w:val="00C00BA8"/>
    <w:rsid w:val="00C00DE3"/>
    <w:rsid w:val="00C04234"/>
    <w:rsid w:val="00C0694F"/>
    <w:rsid w:val="00C07E45"/>
    <w:rsid w:val="00C150C7"/>
    <w:rsid w:val="00C21354"/>
    <w:rsid w:val="00C22482"/>
    <w:rsid w:val="00C253FB"/>
    <w:rsid w:val="00C270CE"/>
    <w:rsid w:val="00C270E9"/>
    <w:rsid w:val="00C31710"/>
    <w:rsid w:val="00C31C1E"/>
    <w:rsid w:val="00C31C7B"/>
    <w:rsid w:val="00C328FC"/>
    <w:rsid w:val="00C330D3"/>
    <w:rsid w:val="00C34D82"/>
    <w:rsid w:val="00C3587A"/>
    <w:rsid w:val="00C41748"/>
    <w:rsid w:val="00C42505"/>
    <w:rsid w:val="00C44D97"/>
    <w:rsid w:val="00C454CB"/>
    <w:rsid w:val="00C45CAA"/>
    <w:rsid w:val="00C5028F"/>
    <w:rsid w:val="00C5101A"/>
    <w:rsid w:val="00C51FF3"/>
    <w:rsid w:val="00C52287"/>
    <w:rsid w:val="00C52DC0"/>
    <w:rsid w:val="00C539BB"/>
    <w:rsid w:val="00C55F20"/>
    <w:rsid w:val="00C57B3B"/>
    <w:rsid w:val="00C62FA7"/>
    <w:rsid w:val="00C63B7E"/>
    <w:rsid w:val="00C65276"/>
    <w:rsid w:val="00C655D4"/>
    <w:rsid w:val="00C66B5D"/>
    <w:rsid w:val="00C675E3"/>
    <w:rsid w:val="00C76595"/>
    <w:rsid w:val="00C76DC1"/>
    <w:rsid w:val="00C77CC1"/>
    <w:rsid w:val="00C80E42"/>
    <w:rsid w:val="00C816A2"/>
    <w:rsid w:val="00C8186E"/>
    <w:rsid w:val="00C82D0B"/>
    <w:rsid w:val="00C82E96"/>
    <w:rsid w:val="00C86DCF"/>
    <w:rsid w:val="00C91292"/>
    <w:rsid w:val="00C92C35"/>
    <w:rsid w:val="00C932A6"/>
    <w:rsid w:val="00C97B77"/>
    <w:rsid w:val="00CA2B47"/>
    <w:rsid w:val="00CA3902"/>
    <w:rsid w:val="00CA3EC9"/>
    <w:rsid w:val="00CA7C53"/>
    <w:rsid w:val="00CB0E3F"/>
    <w:rsid w:val="00CB2010"/>
    <w:rsid w:val="00CB3E9B"/>
    <w:rsid w:val="00CB512A"/>
    <w:rsid w:val="00CB5B16"/>
    <w:rsid w:val="00CC242F"/>
    <w:rsid w:val="00CC330F"/>
    <w:rsid w:val="00CC7386"/>
    <w:rsid w:val="00CC776E"/>
    <w:rsid w:val="00CD09BA"/>
    <w:rsid w:val="00CD1A1C"/>
    <w:rsid w:val="00CD4231"/>
    <w:rsid w:val="00CE1835"/>
    <w:rsid w:val="00CE21B3"/>
    <w:rsid w:val="00CE4302"/>
    <w:rsid w:val="00CE49F0"/>
    <w:rsid w:val="00CE6DC7"/>
    <w:rsid w:val="00CF0E00"/>
    <w:rsid w:val="00CF2CAD"/>
    <w:rsid w:val="00CF3EC0"/>
    <w:rsid w:val="00CF5A0A"/>
    <w:rsid w:val="00D01300"/>
    <w:rsid w:val="00D04DA2"/>
    <w:rsid w:val="00D05DF9"/>
    <w:rsid w:val="00D05E50"/>
    <w:rsid w:val="00D06570"/>
    <w:rsid w:val="00D07EF9"/>
    <w:rsid w:val="00D1027B"/>
    <w:rsid w:val="00D10D38"/>
    <w:rsid w:val="00D10E0A"/>
    <w:rsid w:val="00D13DF9"/>
    <w:rsid w:val="00D15D1D"/>
    <w:rsid w:val="00D17AD5"/>
    <w:rsid w:val="00D21BC6"/>
    <w:rsid w:val="00D23082"/>
    <w:rsid w:val="00D24B88"/>
    <w:rsid w:val="00D254B3"/>
    <w:rsid w:val="00D25E26"/>
    <w:rsid w:val="00D2707E"/>
    <w:rsid w:val="00D3005E"/>
    <w:rsid w:val="00D3051D"/>
    <w:rsid w:val="00D30A1C"/>
    <w:rsid w:val="00D32D0E"/>
    <w:rsid w:val="00D34321"/>
    <w:rsid w:val="00D35137"/>
    <w:rsid w:val="00D353B8"/>
    <w:rsid w:val="00D355C3"/>
    <w:rsid w:val="00D36DF9"/>
    <w:rsid w:val="00D41B4D"/>
    <w:rsid w:val="00D42337"/>
    <w:rsid w:val="00D449F9"/>
    <w:rsid w:val="00D4587E"/>
    <w:rsid w:val="00D52609"/>
    <w:rsid w:val="00D55ED2"/>
    <w:rsid w:val="00D565CB"/>
    <w:rsid w:val="00D6036B"/>
    <w:rsid w:val="00D63E1D"/>
    <w:rsid w:val="00D67452"/>
    <w:rsid w:val="00D777C5"/>
    <w:rsid w:val="00D77E44"/>
    <w:rsid w:val="00D82A59"/>
    <w:rsid w:val="00D85D32"/>
    <w:rsid w:val="00D8695B"/>
    <w:rsid w:val="00D86DE7"/>
    <w:rsid w:val="00D878B3"/>
    <w:rsid w:val="00D87F9C"/>
    <w:rsid w:val="00D918FF"/>
    <w:rsid w:val="00D92A3E"/>
    <w:rsid w:val="00D93672"/>
    <w:rsid w:val="00D94ABB"/>
    <w:rsid w:val="00D95619"/>
    <w:rsid w:val="00DA0330"/>
    <w:rsid w:val="00DA1514"/>
    <w:rsid w:val="00DA2884"/>
    <w:rsid w:val="00DA2BE3"/>
    <w:rsid w:val="00DB08DC"/>
    <w:rsid w:val="00DB0ECE"/>
    <w:rsid w:val="00DB4825"/>
    <w:rsid w:val="00DB4F1A"/>
    <w:rsid w:val="00DB594E"/>
    <w:rsid w:val="00DB5986"/>
    <w:rsid w:val="00DB5AA8"/>
    <w:rsid w:val="00DB7262"/>
    <w:rsid w:val="00DB750E"/>
    <w:rsid w:val="00DC15A1"/>
    <w:rsid w:val="00DC3396"/>
    <w:rsid w:val="00DC53AB"/>
    <w:rsid w:val="00DD06A8"/>
    <w:rsid w:val="00DD11EE"/>
    <w:rsid w:val="00DD1FFD"/>
    <w:rsid w:val="00DD2B7C"/>
    <w:rsid w:val="00DD2D52"/>
    <w:rsid w:val="00DD5662"/>
    <w:rsid w:val="00DD569A"/>
    <w:rsid w:val="00DD598A"/>
    <w:rsid w:val="00DD5DA2"/>
    <w:rsid w:val="00DD641F"/>
    <w:rsid w:val="00DD6B03"/>
    <w:rsid w:val="00DE1F44"/>
    <w:rsid w:val="00DE2632"/>
    <w:rsid w:val="00DE2C2F"/>
    <w:rsid w:val="00DE4D2E"/>
    <w:rsid w:val="00DE6333"/>
    <w:rsid w:val="00DF075B"/>
    <w:rsid w:val="00DF263F"/>
    <w:rsid w:val="00DF3F2A"/>
    <w:rsid w:val="00DF7194"/>
    <w:rsid w:val="00E00EE0"/>
    <w:rsid w:val="00E015A0"/>
    <w:rsid w:val="00E01C8C"/>
    <w:rsid w:val="00E057E6"/>
    <w:rsid w:val="00E06824"/>
    <w:rsid w:val="00E06862"/>
    <w:rsid w:val="00E07F17"/>
    <w:rsid w:val="00E11BE4"/>
    <w:rsid w:val="00E11DA0"/>
    <w:rsid w:val="00E11EC1"/>
    <w:rsid w:val="00E133CD"/>
    <w:rsid w:val="00E13652"/>
    <w:rsid w:val="00E1429E"/>
    <w:rsid w:val="00E15818"/>
    <w:rsid w:val="00E165A9"/>
    <w:rsid w:val="00E23B67"/>
    <w:rsid w:val="00E23C8C"/>
    <w:rsid w:val="00E2531E"/>
    <w:rsid w:val="00E27C76"/>
    <w:rsid w:val="00E344CE"/>
    <w:rsid w:val="00E34962"/>
    <w:rsid w:val="00E36B96"/>
    <w:rsid w:val="00E36ECE"/>
    <w:rsid w:val="00E37247"/>
    <w:rsid w:val="00E374D9"/>
    <w:rsid w:val="00E37C0D"/>
    <w:rsid w:val="00E423C6"/>
    <w:rsid w:val="00E43BD2"/>
    <w:rsid w:val="00E44E5A"/>
    <w:rsid w:val="00E46C4C"/>
    <w:rsid w:val="00E51DE8"/>
    <w:rsid w:val="00E523C4"/>
    <w:rsid w:val="00E53683"/>
    <w:rsid w:val="00E539DE"/>
    <w:rsid w:val="00E53D7E"/>
    <w:rsid w:val="00E6375E"/>
    <w:rsid w:val="00E65D30"/>
    <w:rsid w:val="00E66E5E"/>
    <w:rsid w:val="00E707B8"/>
    <w:rsid w:val="00E71A95"/>
    <w:rsid w:val="00E71B5B"/>
    <w:rsid w:val="00E7739E"/>
    <w:rsid w:val="00E813FB"/>
    <w:rsid w:val="00E86E44"/>
    <w:rsid w:val="00E90CF5"/>
    <w:rsid w:val="00E93171"/>
    <w:rsid w:val="00E93CB5"/>
    <w:rsid w:val="00E94498"/>
    <w:rsid w:val="00E94A09"/>
    <w:rsid w:val="00E9530C"/>
    <w:rsid w:val="00E96C33"/>
    <w:rsid w:val="00EA04F3"/>
    <w:rsid w:val="00EA12EA"/>
    <w:rsid w:val="00EA1710"/>
    <w:rsid w:val="00EA2AC8"/>
    <w:rsid w:val="00EA352E"/>
    <w:rsid w:val="00EA39F2"/>
    <w:rsid w:val="00EB4771"/>
    <w:rsid w:val="00EB4E58"/>
    <w:rsid w:val="00EB53DC"/>
    <w:rsid w:val="00EB646F"/>
    <w:rsid w:val="00EB74BF"/>
    <w:rsid w:val="00EB7F7E"/>
    <w:rsid w:val="00EC1471"/>
    <w:rsid w:val="00EC2566"/>
    <w:rsid w:val="00EC38E2"/>
    <w:rsid w:val="00EC3E27"/>
    <w:rsid w:val="00EC45B1"/>
    <w:rsid w:val="00EC626C"/>
    <w:rsid w:val="00ED021D"/>
    <w:rsid w:val="00ED129E"/>
    <w:rsid w:val="00ED2117"/>
    <w:rsid w:val="00ED5C61"/>
    <w:rsid w:val="00ED66EF"/>
    <w:rsid w:val="00ED6844"/>
    <w:rsid w:val="00ED6C0B"/>
    <w:rsid w:val="00EE0A0E"/>
    <w:rsid w:val="00EE2CD1"/>
    <w:rsid w:val="00EE3554"/>
    <w:rsid w:val="00EE4177"/>
    <w:rsid w:val="00EE4430"/>
    <w:rsid w:val="00EE66F7"/>
    <w:rsid w:val="00EE67A9"/>
    <w:rsid w:val="00EF08EE"/>
    <w:rsid w:val="00EF15F9"/>
    <w:rsid w:val="00EF2B84"/>
    <w:rsid w:val="00EF594E"/>
    <w:rsid w:val="00EF762D"/>
    <w:rsid w:val="00EF7A7B"/>
    <w:rsid w:val="00F00EF7"/>
    <w:rsid w:val="00F00FC0"/>
    <w:rsid w:val="00F03DBF"/>
    <w:rsid w:val="00F046DC"/>
    <w:rsid w:val="00F129F4"/>
    <w:rsid w:val="00F12F78"/>
    <w:rsid w:val="00F146DA"/>
    <w:rsid w:val="00F170A4"/>
    <w:rsid w:val="00F21A3D"/>
    <w:rsid w:val="00F23AF3"/>
    <w:rsid w:val="00F325A7"/>
    <w:rsid w:val="00F361AB"/>
    <w:rsid w:val="00F361F5"/>
    <w:rsid w:val="00F365EF"/>
    <w:rsid w:val="00F36655"/>
    <w:rsid w:val="00F41EFA"/>
    <w:rsid w:val="00F428A9"/>
    <w:rsid w:val="00F42C52"/>
    <w:rsid w:val="00F42EF6"/>
    <w:rsid w:val="00F42F6F"/>
    <w:rsid w:val="00F44349"/>
    <w:rsid w:val="00F457D5"/>
    <w:rsid w:val="00F4615A"/>
    <w:rsid w:val="00F46F1E"/>
    <w:rsid w:val="00F47743"/>
    <w:rsid w:val="00F4779A"/>
    <w:rsid w:val="00F52DCB"/>
    <w:rsid w:val="00F56CC7"/>
    <w:rsid w:val="00F64293"/>
    <w:rsid w:val="00F64944"/>
    <w:rsid w:val="00F64A99"/>
    <w:rsid w:val="00F66AB9"/>
    <w:rsid w:val="00F67B99"/>
    <w:rsid w:val="00F7079B"/>
    <w:rsid w:val="00F70EB5"/>
    <w:rsid w:val="00F7417A"/>
    <w:rsid w:val="00F77079"/>
    <w:rsid w:val="00F7729A"/>
    <w:rsid w:val="00F80082"/>
    <w:rsid w:val="00F80C17"/>
    <w:rsid w:val="00F80D78"/>
    <w:rsid w:val="00F81D6E"/>
    <w:rsid w:val="00F81DF0"/>
    <w:rsid w:val="00F82993"/>
    <w:rsid w:val="00F84B82"/>
    <w:rsid w:val="00F85037"/>
    <w:rsid w:val="00F86F4B"/>
    <w:rsid w:val="00F90AE4"/>
    <w:rsid w:val="00F90C92"/>
    <w:rsid w:val="00F915D6"/>
    <w:rsid w:val="00F92003"/>
    <w:rsid w:val="00F924B3"/>
    <w:rsid w:val="00F92D8E"/>
    <w:rsid w:val="00F96488"/>
    <w:rsid w:val="00FA0671"/>
    <w:rsid w:val="00FA0A0F"/>
    <w:rsid w:val="00FA6768"/>
    <w:rsid w:val="00FA6A3E"/>
    <w:rsid w:val="00FB1F1B"/>
    <w:rsid w:val="00FB31B9"/>
    <w:rsid w:val="00FB3856"/>
    <w:rsid w:val="00FB5427"/>
    <w:rsid w:val="00FB5F7D"/>
    <w:rsid w:val="00FC04BD"/>
    <w:rsid w:val="00FC29C1"/>
    <w:rsid w:val="00FC385E"/>
    <w:rsid w:val="00FC44CC"/>
    <w:rsid w:val="00FC4656"/>
    <w:rsid w:val="00FC5183"/>
    <w:rsid w:val="00FC6FC5"/>
    <w:rsid w:val="00FC7815"/>
    <w:rsid w:val="00FD079C"/>
    <w:rsid w:val="00FD11BC"/>
    <w:rsid w:val="00FD295B"/>
    <w:rsid w:val="00FD36E0"/>
    <w:rsid w:val="00FD4958"/>
    <w:rsid w:val="00FD58C4"/>
    <w:rsid w:val="00FD6FF3"/>
    <w:rsid w:val="00FD70C8"/>
    <w:rsid w:val="00FD79EC"/>
    <w:rsid w:val="00FE0365"/>
    <w:rsid w:val="00FE3A1D"/>
    <w:rsid w:val="00FE3D27"/>
    <w:rsid w:val="00FE6677"/>
    <w:rsid w:val="00FF2F2B"/>
    <w:rsid w:val="00FF30E1"/>
    <w:rsid w:val="00FF491B"/>
    <w:rsid w:val="00FF5407"/>
    <w:rsid w:val="00FF57EF"/>
    <w:rsid w:val="00FF681E"/>
    <w:rsid w:val="00FF7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23"/>
      </o:rules>
    </o:shapelayout>
  </w:shapeDefaults>
  <w:decimalSymbol w:val="."/>
  <w:listSeparator w:val=","/>
  <w14:docId w14:val="3068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qFormat="1"/>
    <w:lsdException w:name="toc 5" w:semiHidden="0" w:qFormat="1"/>
    <w:lsdException w:name="toc 6" w:semiHidden="0" w:qFormat="1"/>
    <w:lsdException w:name="toc 7" w:semiHidden="0" w:qFormat="1"/>
    <w:lsdException w:name="toc 8" w:semiHidden="0" w:qFormat="1"/>
    <w:lsdException w:name="toc 9" w:semiHidden="0" w:qFormat="1"/>
    <w:lsdException w:name="Normal Indent" w:unhideWhenUsed="1"/>
    <w:lsdException w:name="footnote text" w:uiPriority="99" w:unhideWhenUsed="1"/>
    <w:lsdException w:name="annotation text" w:unhideWhenUsed="1"/>
    <w:lsdException w:name="header" w:uiPriority="99" w:unhideWhenUsed="1"/>
    <w:lsdException w:name="footer" w:uiPriority="9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iPriority="99" w:unhideWhenUsed="1"/>
    <w:lsdException w:name="page number" w:uiPriority="99" w:unhideWhenUsed="1"/>
    <w:lsdException w:name="endnote reference" w:uiPriority="99"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iPriority="99"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iPriority="99" w:unhideWhenUsed="1"/>
    <w:lsdException w:name="HTML Address" w:unhideWhenUsed="1"/>
    <w:lsdException w:name="HTML Cite" w:uiPriority="99" w:unhideWhenUsed="1"/>
    <w:lsdException w:name="HTML Code" w:uiPriority="99" w:unhideWhenUsed="1"/>
    <w:lsdException w:name="HTML Definition" w:uiPriority="99" w:unhideWhenUsed="1"/>
    <w:lsdException w:name="HTML Keyboard" w:uiPriority="99" w:unhideWhenUsed="1"/>
    <w:lsdException w:name="HTML Preformatted" w:unhideWhenUsed="1"/>
    <w:lsdException w:name="HTML Sample" w:uiPriority="99" w:unhideWhenUsed="1"/>
    <w:lsdException w:name="HTML Typewriter" w:uiPriority="99" w:unhideWhenUsed="1"/>
    <w:lsdException w:name="HTML Variable" w:uiPriority="99" w:unhideWhenUsed="1"/>
    <w:lsdException w:name="Normal Table" w:uiPriority="99" w:unhideWhenUsed="1"/>
    <w:lsdException w:name="annotation subject"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iPriority="99" w:unhideWhenUsed="1"/>
    <w:lsdException w:name="Table Grid" w:semiHidden="0" w:uiPriority="59"/>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2A67"/>
    <w:pPr>
      <w:tabs>
        <w:tab w:val="left" w:pos="850"/>
        <w:tab w:val="left" w:pos="1191"/>
        <w:tab w:val="left" w:pos="1531"/>
      </w:tabs>
      <w:jc w:val="both"/>
    </w:pPr>
    <w:rPr>
      <w:sz w:val="22"/>
      <w:szCs w:val="22"/>
      <w:lang w:val="en-GB" w:eastAsia="zh-CN"/>
    </w:rPr>
  </w:style>
  <w:style w:type="paragraph" w:styleId="Heading1">
    <w:name w:val="heading 1"/>
    <w:basedOn w:val="Normal"/>
    <w:next w:val="Num-DocParagraph"/>
    <w:link w:val="Heading1Char"/>
    <w:uiPriority w:val="9"/>
    <w:qFormat/>
    <w:pPr>
      <w:keepNext/>
      <w:spacing w:before="1200" w:after="720"/>
      <w:jc w:val="center"/>
      <w:outlineLvl w:val="0"/>
    </w:pPr>
    <w:rPr>
      <w:b/>
      <w:bCs/>
      <w:caps/>
      <w:kern w:val="28"/>
    </w:rPr>
  </w:style>
  <w:style w:type="paragraph" w:styleId="Heading2">
    <w:name w:val="heading 2"/>
    <w:basedOn w:val="Normal"/>
    <w:next w:val="Num-DocParagraph"/>
    <w:link w:val="Heading2Char"/>
    <w:qFormat/>
    <w:pPr>
      <w:keepNext/>
      <w:spacing w:before="240" w:after="240"/>
      <w:outlineLvl w:val="1"/>
    </w:pPr>
    <w:rPr>
      <w:b/>
      <w:bCs/>
    </w:rPr>
  </w:style>
  <w:style w:type="paragraph" w:styleId="Heading3">
    <w:name w:val="heading 3"/>
    <w:basedOn w:val="Normal"/>
    <w:next w:val="Num-DocParagraph"/>
    <w:link w:val="Heading3Char"/>
    <w:uiPriority w:val="9"/>
    <w:qFormat/>
    <w:pPr>
      <w:keepNext/>
      <w:spacing w:before="240" w:after="240"/>
      <w:outlineLvl w:val="2"/>
    </w:pPr>
    <w:rPr>
      <w:b/>
      <w:bCs/>
      <w:i/>
      <w:iCs/>
    </w:rPr>
  </w:style>
  <w:style w:type="paragraph" w:styleId="Heading4">
    <w:name w:val="heading 4"/>
    <w:basedOn w:val="Normal"/>
    <w:next w:val="Num-DocParagraph"/>
    <w:qFormat/>
    <w:pPr>
      <w:keepNext/>
      <w:spacing w:before="240" w:after="240"/>
      <w:outlineLvl w:val="3"/>
    </w:pPr>
    <w:rPr>
      <w:i/>
      <w:iCs/>
    </w:rPr>
  </w:style>
  <w:style w:type="paragraph" w:styleId="Heading5">
    <w:name w:val="heading 5"/>
    <w:basedOn w:val="Normal"/>
    <w:next w:val="Num-DocParagraph"/>
    <w:qFormat/>
    <w:pPr>
      <w:spacing w:before="240" w:after="240"/>
      <w:outlineLvl w:val="4"/>
    </w:p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ing">
    <w:name w:val="Annex Heading"/>
    <w:basedOn w:val="Normal"/>
    <w:next w:val="BodyText"/>
    <w:pPr>
      <w:keepNext/>
      <w:spacing w:before="1200" w:after="720"/>
      <w:jc w:val="center"/>
    </w:pPr>
    <w:rPr>
      <w:b/>
      <w:bCs/>
      <w:caps/>
    </w:rPr>
  </w:style>
  <w:style w:type="paragraph" w:styleId="BodyText">
    <w:name w:val="Body Text"/>
    <w:aliases w:val="Body Text Char1 Char,Body Text Char Char Char,Body Text Char1 Char Char Char,Body Text Char Char Char Char Char,Body Text Char1 Char Char Char Char Char,Body Text Char Char Char Char Char Char Char,Body Text Char1 Char3 Cha"/>
    <w:basedOn w:val="Normal"/>
    <w:link w:val="BodyTextChar"/>
    <w:uiPriority w:val="99"/>
    <w:qFormat/>
    <w:pPr>
      <w:spacing w:after="240"/>
      <w:ind w:firstLine="442"/>
    </w:pPr>
  </w:style>
  <w:style w:type="paragraph" w:customStyle="1" w:styleId="Annotation">
    <w:name w:val="Annotation"/>
    <w:basedOn w:val="BodyText"/>
    <w:pPr>
      <w:ind w:firstLine="0"/>
      <w:jc w:val="left"/>
    </w:pPr>
    <w:rPr>
      <w:b/>
      <w:bCs/>
      <w:i/>
      <w:iCs/>
    </w:rPr>
  </w:style>
  <w:style w:type="paragraph" w:customStyle="1" w:styleId="AppendixHeading">
    <w:name w:val="Appendix Heading"/>
    <w:basedOn w:val="Normal"/>
    <w:next w:val="BodyText"/>
    <w:pPr>
      <w:keepNext/>
      <w:spacing w:before="1200" w:after="720"/>
      <w:jc w:val="center"/>
    </w:pPr>
    <w:rPr>
      <w:b/>
      <w:bCs/>
      <w:caps/>
    </w:rPr>
  </w:style>
  <w:style w:type="paragraph" w:customStyle="1" w:styleId="Biblio-Entry">
    <w:name w:val="Biblio-Entry"/>
    <w:basedOn w:val="BodyText"/>
    <w:pPr>
      <w:ind w:left="567" w:hanging="567"/>
      <w:jc w:val="left"/>
    </w:pPr>
  </w:style>
  <w:style w:type="paragraph" w:customStyle="1" w:styleId="BibliographyHeading">
    <w:name w:val="Bibliography Heading"/>
    <w:basedOn w:val="Normal"/>
    <w:next w:val="Biblio-Entry"/>
    <w:pPr>
      <w:keepNext/>
      <w:spacing w:before="1200" w:after="720"/>
      <w:jc w:val="center"/>
    </w:pPr>
    <w:rPr>
      <w:b/>
      <w:bCs/>
      <w:caps/>
    </w:rPr>
  </w:style>
  <w:style w:type="paragraph" w:customStyle="1" w:styleId="BoxHeading">
    <w:name w:val="Box Heading"/>
    <w:basedOn w:val="Normal"/>
    <w:next w:val="BoxBodyText"/>
    <w:pPr>
      <w:spacing w:before="240" w:after="240"/>
      <w:jc w:val="center"/>
    </w:pPr>
    <w:rPr>
      <w:rFonts w:ascii="Arial" w:hAnsi="Arial" w:cs="Arial"/>
      <w:b/>
      <w:bCs/>
      <w:sz w:val="18"/>
    </w:rPr>
  </w:style>
  <w:style w:type="paragraph" w:customStyle="1" w:styleId="Cell">
    <w:name w:val="Cell"/>
    <w:basedOn w:val="Normal"/>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pPr>
      <w:keepNext/>
      <w:spacing w:before="1200" w:after="720"/>
      <w:jc w:val="center"/>
    </w:pPr>
    <w:rPr>
      <w:b/>
      <w:bCs/>
      <w:caps/>
    </w:rPr>
  </w:style>
  <w:style w:type="paragraph" w:customStyle="1" w:styleId="DefinitionList">
    <w:name w:val="Definition List"/>
    <w:basedOn w:val="BodyText"/>
    <w:pPr>
      <w:tabs>
        <w:tab w:val="clear" w:pos="850"/>
        <w:tab w:val="clear" w:pos="1191"/>
        <w:tab w:val="clear" w:pos="1531"/>
      </w:tabs>
      <w:ind w:left="1984" w:hanging="1984"/>
      <w:jc w:val="center"/>
    </w:pPr>
  </w:style>
  <w:style w:type="paragraph" w:styleId="EndnoteText">
    <w:name w:val="endnote text"/>
    <w:basedOn w:val="Normal"/>
    <w:semiHidden/>
    <w:pPr>
      <w:spacing w:after="240"/>
      <w:ind w:left="850" w:hanging="850"/>
    </w:pPr>
    <w:rPr>
      <w:sz w:val="20"/>
      <w:szCs w:val="20"/>
    </w:rPr>
  </w:style>
  <w:style w:type="paragraph" w:customStyle="1" w:styleId="EndnotesHeading">
    <w:name w:val="Endnotes Heading"/>
    <w:basedOn w:val="Normal"/>
    <w:next w:val="BodyText"/>
    <w:pPr>
      <w:keepNext/>
      <w:spacing w:before="1200" w:after="480"/>
      <w:jc w:val="center"/>
    </w:pPr>
    <w:rPr>
      <w:b/>
      <w:bCs/>
      <w:caps/>
    </w:rPr>
  </w:style>
  <w:style w:type="paragraph" w:customStyle="1" w:styleId="ExecutiveSummaryHeading">
    <w:name w:val="Executive Summary Heading"/>
    <w:basedOn w:val="Normal"/>
    <w:next w:val="BodyText"/>
    <w:pPr>
      <w:keepNext/>
      <w:spacing w:before="1200" w:after="720"/>
      <w:jc w:val="center"/>
    </w:pPr>
    <w:rPr>
      <w:b/>
      <w:bCs/>
      <w:caps/>
    </w:rPr>
  </w:style>
  <w:style w:type="paragraph" w:customStyle="1" w:styleId="FigureNote">
    <w:name w:val="Figure Note"/>
    <w:basedOn w:val="Normal"/>
    <w:pPr>
      <w:spacing w:after="120"/>
    </w:pPr>
    <w:rPr>
      <w:rFonts w:ascii="Arial" w:hAnsi="Arial" w:cs="Arial"/>
      <w:sz w:val="16"/>
      <w:szCs w:val="18"/>
    </w:rPr>
  </w:style>
  <w:style w:type="paragraph" w:customStyle="1" w:styleId="FigureSub-title">
    <w:name w:val="Figure Sub-title"/>
    <w:basedOn w:val="Normal"/>
    <w:pPr>
      <w:keepNext/>
      <w:spacing w:after="120"/>
      <w:jc w:val="center"/>
    </w:pPr>
    <w:rPr>
      <w:rFonts w:ascii="Arial" w:hAnsi="Arial" w:cs="Arial"/>
      <w:sz w:val="18"/>
    </w:rPr>
  </w:style>
  <w:style w:type="paragraph" w:customStyle="1" w:styleId="FigureTitle">
    <w:name w:val="Figure Title"/>
    <w:basedOn w:val="Normal"/>
    <w:next w:val="FigureSub-title"/>
    <w:pPr>
      <w:keepNext/>
      <w:spacing w:after="240"/>
      <w:jc w:val="center"/>
    </w:pPr>
    <w:rPr>
      <w:rFonts w:ascii="Arial" w:hAnsi="Arial" w:cs="Arial"/>
      <w:b/>
      <w:bCs/>
      <w:sz w:val="18"/>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pPr>
      <w:spacing w:after="120"/>
      <w:ind w:left="850" w:hanging="850"/>
    </w:pPr>
    <w:rPr>
      <w:sz w:val="20"/>
      <w:szCs w:val="20"/>
    </w:rPr>
  </w:style>
  <w:style w:type="paragraph" w:customStyle="1" w:styleId="ForewordHeading">
    <w:name w:val="Foreword Heading"/>
    <w:basedOn w:val="Normal"/>
    <w:next w:val="BodyText"/>
    <w:pPr>
      <w:keepNext/>
      <w:spacing w:before="1200" w:after="720"/>
      <w:jc w:val="center"/>
    </w:pPr>
    <w:rPr>
      <w:b/>
      <w:bCs/>
      <w:caps/>
    </w:rPr>
  </w:style>
  <w:style w:type="paragraph" w:customStyle="1" w:styleId="GlossaryHeading">
    <w:name w:val="Glossary Heading"/>
    <w:basedOn w:val="Normal"/>
    <w:next w:val="BodyText"/>
    <w:pPr>
      <w:keepNext/>
      <w:spacing w:before="1200" w:after="720"/>
      <w:jc w:val="center"/>
    </w:pPr>
    <w:rPr>
      <w:b/>
      <w:bCs/>
      <w:caps/>
    </w:rPr>
  </w:style>
  <w:style w:type="paragraph" w:customStyle="1" w:styleId="Graphic">
    <w:name w:val="Graphic"/>
    <w:basedOn w:val="Normal"/>
    <w:next w:val="BodyText"/>
    <w:pPr>
      <w:spacing w:after="240"/>
      <w:jc w:val="center"/>
    </w:pPr>
  </w:style>
  <w:style w:type="paragraph" w:customStyle="1" w:styleId="HiddenText">
    <w:name w:val="Hidden Text"/>
    <w:basedOn w:val="BodyText"/>
    <w:pPr>
      <w:keepNext/>
      <w:spacing w:after="0"/>
      <w:ind w:left="442" w:firstLine="0"/>
    </w:pPr>
    <w:rPr>
      <w:sz w:val="2"/>
      <w:szCs w:val="2"/>
    </w:rPr>
  </w:style>
  <w:style w:type="paragraph" w:customStyle="1" w:styleId="Highlight">
    <w:name w:val="Highlight"/>
    <w:basedOn w:val="BodyText"/>
    <w:pPr>
      <w:ind w:left="442" w:firstLine="0"/>
    </w:pPr>
    <w:rPr>
      <w:i/>
      <w:iCs/>
    </w:rPr>
  </w:style>
  <w:style w:type="paragraph" w:customStyle="1" w:styleId="HighlightHeading">
    <w:name w:val="Highlight Heading"/>
    <w:basedOn w:val="Normal"/>
    <w:next w:val="BodyText"/>
    <w:pPr>
      <w:keepNext/>
      <w:spacing w:before="1200" w:after="720"/>
      <w:jc w:val="center"/>
    </w:pPr>
    <w:rPr>
      <w:b/>
      <w:bCs/>
      <w:caps/>
    </w:rPr>
  </w:style>
  <w:style w:type="paragraph" w:styleId="Index1">
    <w:name w:val="index 1"/>
    <w:basedOn w:val="Normal"/>
    <w:next w:val="Normal"/>
    <w:semiHidden/>
    <w:pPr>
      <w:ind w:left="220" w:hanging="220"/>
    </w:pPr>
  </w:style>
  <w:style w:type="paragraph" w:styleId="IndexHeading">
    <w:name w:val="index heading"/>
    <w:basedOn w:val="Normal"/>
    <w:next w:val="BodyText"/>
    <w:semiHidden/>
    <w:pPr>
      <w:keepNext/>
      <w:spacing w:before="1200" w:after="720"/>
      <w:jc w:val="center"/>
    </w:pPr>
    <w:rPr>
      <w:b/>
      <w:bCs/>
      <w:caps/>
    </w:rPr>
  </w:style>
  <w:style w:type="paragraph" w:customStyle="1" w:styleId="IntroductionHeading">
    <w:name w:val="Introduction Heading"/>
    <w:basedOn w:val="Normal"/>
    <w:next w:val="BodyText"/>
    <w:pPr>
      <w:keepNext/>
      <w:spacing w:before="1200" w:after="720"/>
      <w:jc w:val="center"/>
    </w:pPr>
    <w:rPr>
      <w:b/>
      <w:bCs/>
      <w:caps/>
    </w:rPr>
  </w:style>
  <w:style w:type="paragraph" w:styleId="List">
    <w:name w:val="List"/>
    <w:basedOn w:val="Normal"/>
    <w:pPr>
      <w:spacing w:after="240"/>
      <w:ind w:left="850" w:hanging="283"/>
    </w:pPr>
  </w:style>
  <w:style w:type="paragraph" w:styleId="List2">
    <w:name w:val="List 2"/>
    <w:basedOn w:val="Normal"/>
    <w:pPr>
      <w:spacing w:after="240"/>
      <w:ind w:left="1134" w:hanging="283"/>
    </w:pPr>
  </w:style>
  <w:style w:type="paragraph" w:styleId="List3">
    <w:name w:val="List 3"/>
    <w:basedOn w:val="Normal"/>
    <w:pPr>
      <w:spacing w:after="240"/>
      <w:ind w:left="1417" w:hanging="283"/>
    </w:pPr>
  </w:style>
  <w:style w:type="paragraph" w:styleId="List4">
    <w:name w:val="List 4"/>
    <w:basedOn w:val="Normal"/>
    <w:pPr>
      <w:spacing w:after="240"/>
      <w:ind w:left="1701" w:hanging="283"/>
    </w:pPr>
  </w:style>
  <w:style w:type="paragraph" w:styleId="List5">
    <w:name w:val="List 5"/>
    <w:basedOn w:val="Normal"/>
    <w:pPr>
      <w:spacing w:after="240"/>
      <w:ind w:left="1984" w:hanging="283"/>
    </w:pPr>
  </w:style>
  <w:style w:type="paragraph" w:styleId="ListBullet">
    <w:name w:val="List Bullet"/>
    <w:basedOn w:val="Normal"/>
    <w:pPr>
      <w:numPr>
        <w:numId w:val="5"/>
      </w:numPr>
      <w:tabs>
        <w:tab w:val="clear" w:pos="1191"/>
        <w:tab w:val="clear" w:pos="1531"/>
      </w:tabs>
      <w:spacing w:after="240"/>
    </w:pPr>
  </w:style>
  <w:style w:type="paragraph" w:styleId="ListBullet2">
    <w:name w:val="List Bullet 2"/>
    <w:basedOn w:val="Normal"/>
    <w:pPr>
      <w:numPr>
        <w:numId w:val="6"/>
      </w:numPr>
      <w:tabs>
        <w:tab w:val="clear" w:pos="850"/>
        <w:tab w:val="clear" w:pos="1531"/>
      </w:tabs>
      <w:spacing w:after="240"/>
    </w:pPr>
  </w:style>
  <w:style w:type="paragraph" w:styleId="ListBullet3">
    <w:name w:val="List Bullet 3"/>
    <w:basedOn w:val="Normal"/>
    <w:pPr>
      <w:numPr>
        <w:numId w:val="7"/>
      </w:numPr>
      <w:tabs>
        <w:tab w:val="clear" w:pos="850"/>
        <w:tab w:val="clear" w:pos="1191"/>
        <w:tab w:val="clear" w:pos="1531"/>
      </w:tabs>
      <w:spacing w:after="240"/>
    </w:pPr>
  </w:style>
  <w:style w:type="paragraph" w:styleId="ListBullet4">
    <w:name w:val="List Bullet 4"/>
    <w:basedOn w:val="Normal"/>
    <w:pPr>
      <w:numPr>
        <w:numId w:val="8"/>
      </w:numPr>
      <w:tabs>
        <w:tab w:val="clear" w:pos="850"/>
        <w:tab w:val="clear" w:pos="1191"/>
        <w:tab w:val="clear" w:pos="1531"/>
      </w:tabs>
      <w:spacing w:after="240"/>
    </w:pPr>
  </w:style>
  <w:style w:type="paragraph" w:styleId="ListBullet5">
    <w:name w:val="List Bullet 5"/>
    <w:basedOn w:val="Normal"/>
    <w:pPr>
      <w:numPr>
        <w:numId w:val="9"/>
      </w:numPr>
      <w:tabs>
        <w:tab w:val="clear" w:pos="850"/>
        <w:tab w:val="clear" w:pos="1191"/>
        <w:tab w:val="clear" w:pos="1531"/>
      </w:tabs>
      <w:spacing w:after="240"/>
    </w:pPr>
  </w:style>
  <w:style w:type="paragraph" w:styleId="ListContinue">
    <w:name w:val="List Continue"/>
    <w:basedOn w:val="Normal"/>
    <w:pPr>
      <w:tabs>
        <w:tab w:val="clear" w:pos="850"/>
        <w:tab w:val="clear" w:pos="1191"/>
        <w:tab w:val="clear" w:pos="1531"/>
      </w:tabs>
      <w:spacing w:after="240"/>
      <w:ind w:left="850"/>
    </w:pPr>
  </w:style>
  <w:style w:type="paragraph" w:styleId="ListContinue2">
    <w:name w:val="List Continue 2"/>
    <w:basedOn w:val="Normal"/>
    <w:pPr>
      <w:tabs>
        <w:tab w:val="clear" w:pos="850"/>
        <w:tab w:val="clear" w:pos="1191"/>
        <w:tab w:val="clear" w:pos="1531"/>
      </w:tabs>
      <w:spacing w:after="240"/>
      <w:ind w:left="1191"/>
    </w:pPr>
  </w:style>
  <w:style w:type="paragraph" w:styleId="ListContinue3">
    <w:name w:val="List Continue 3"/>
    <w:basedOn w:val="Normal"/>
    <w:pPr>
      <w:tabs>
        <w:tab w:val="clear" w:pos="850"/>
        <w:tab w:val="clear" w:pos="1191"/>
        <w:tab w:val="clear" w:pos="1531"/>
      </w:tabs>
      <w:spacing w:after="240"/>
      <w:ind w:left="1474"/>
    </w:pPr>
  </w:style>
  <w:style w:type="paragraph" w:styleId="ListContinue4">
    <w:name w:val="List Continue 4"/>
    <w:basedOn w:val="Normal"/>
    <w:pPr>
      <w:tabs>
        <w:tab w:val="clear" w:pos="850"/>
        <w:tab w:val="clear" w:pos="1191"/>
        <w:tab w:val="clear" w:pos="1531"/>
      </w:tabs>
      <w:spacing w:after="240"/>
      <w:ind w:left="1757"/>
    </w:pPr>
  </w:style>
  <w:style w:type="paragraph" w:styleId="ListContinue5">
    <w:name w:val="List Continue 5"/>
    <w:basedOn w:val="Normal"/>
    <w:pPr>
      <w:tabs>
        <w:tab w:val="clear" w:pos="850"/>
        <w:tab w:val="clear" w:pos="1191"/>
        <w:tab w:val="clear" w:pos="1531"/>
      </w:tabs>
      <w:spacing w:after="240"/>
      <w:ind w:left="2041"/>
    </w:pPr>
  </w:style>
  <w:style w:type="paragraph" w:styleId="ListNumber">
    <w:name w:val="List Number"/>
    <w:basedOn w:val="Normal"/>
    <w:pPr>
      <w:numPr>
        <w:numId w:val="10"/>
      </w:numPr>
      <w:tabs>
        <w:tab w:val="clear" w:pos="1191"/>
        <w:tab w:val="clear" w:pos="1531"/>
        <w:tab w:val="left" w:pos="1134"/>
      </w:tabs>
      <w:spacing w:after="240"/>
    </w:pPr>
  </w:style>
  <w:style w:type="paragraph" w:styleId="ListNumber2">
    <w:name w:val="List Number 2"/>
    <w:basedOn w:val="Normal"/>
    <w:pPr>
      <w:numPr>
        <w:ilvl w:val="1"/>
        <w:numId w:val="10"/>
      </w:numPr>
      <w:tabs>
        <w:tab w:val="clear" w:pos="850"/>
        <w:tab w:val="clear" w:pos="1531"/>
        <w:tab w:val="left" w:pos="1417"/>
      </w:tabs>
      <w:spacing w:after="240"/>
    </w:pPr>
  </w:style>
  <w:style w:type="paragraph" w:styleId="ListNumber3">
    <w:name w:val="List Number 3"/>
    <w:basedOn w:val="Normal"/>
    <w:pPr>
      <w:numPr>
        <w:ilvl w:val="2"/>
        <w:numId w:val="10"/>
      </w:numPr>
      <w:tabs>
        <w:tab w:val="clear" w:pos="850"/>
        <w:tab w:val="clear" w:pos="1191"/>
        <w:tab w:val="clear" w:pos="1531"/>
        <w:tab w:val="left" w:pos="1701"/>
      </w:tabs>
      <w:spacing w:after="240"/>
    </w:pPr>
  </w:style>
  <w:style w:type="paragraph" w:styleId="ListNumber4">
    <w:name w:val="List Number 4"/>
    <w:basedOn w:val="Normal"/>
    <w:pPr>
      <w:numPr>
        <w:ilvl w:val="3"/>
        <w:numId w:val="10"/>
      </w:numPr>
      <w:tabs>
        <w:tab w:val="clear" w:pos="850"/>
        <w:tab w:val="clear" w:pos="1191"/>
        <w:tab w:val="clear" w:pos="1531"/>
        <w:tab w:val="left" w:pos="1984"/>
      </w:tabs>
      <w:spacing w:after="240"/>
    </w:pPr>
  </w:style>
  <w:style w:type="paragraph" w:styleId="ListNumber5">
    <w:name w:val="List Number 5"/>
    <w:basedOn w:val="Normal"/>
    <w:pPr>
      <w:numPr>
        <w:ilvl w:val="4"/>
        <w:numId w:val="10"/>
      </w:numPr>
      <w:tabs>
        <w:tab w:val="clear" w:pos="850"/>
        <w:tab w:val="clear" w:pos="1191"/>
        <w:tab w:val="clear" w:pos="1531"/>
        <w:tab w:val="left" w:pos="2268"/>
      </w:tabs>
      <w:spacing w:after="240"/>
    </w:pPr>
  </w:style>
  <w:style w:type="paragraph" w:customStyle="1" w:styleId="Num-ChapParagraph">
    <w:name w:val="Num-Chap Paragraph"/>
    <w:basedOn w:val="BodyText"/>
    <w:pPr>
      <w:ind w:firstLine="0"/>
    </w:pPr>
  </w:style>
  <w:style w:type="paragraph" w:customStyle="1" w:styleId="Num-DocParagraph">
    <w:name w:val="Num-Doc Paragraph"/>
    <w:basedOn w:val="BodyText"/>
    <w:link w:val="Num-DocParagraphChar"/>
    <w:qFormat/>
    <w:pPr>
      <w:ind w:firstLine="0"/>
    </w:pPr>
  </w:style>
  <w:style w:type="paragraph" w:customStyle="1" w:styleId="PartHeading">
    <w:name w:val="Part Heading"/>
    <w:basedOn w:val="Normal"/>
    <w:next w:val="BodyText"/>
    <w:pPr>
      <w:keepNext/>
      <w:spacing w:before="1200" w:after="720"/>
      <w:jc w:val="center"/>
    </w:pPr>
    <w:rPr>
      <w:b/>
      <w:bCs/>
      <w:caps/>
    </w:rPr>
  </w:style>
  <w:style w:type="paragraph" w:customStyle="1" w:styleId="RowsHeading">
    <w:name w:val="Rows Heading"/>
    <w:basedOn w:val="Normal"/>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pPr>
      <w:spacing w:after="360"/>
    </w:pPr>
    <w:rPr>
      <w:rFonts w:ascii="Arial" w:hAnsi="Arial" w:cs="Arial"/>
      <w:sz w:val="16"/>
      <w:szCs w:val="18"/>
    </w:rPr>
  </w:style>
  <w:style w:type="paragraph" w:customStyle="1" w:styleId="SubHeading">
    <w:name w:val="SubHeading"/>
    <w:basedOn w:val="BodyText"/>
    <w:pPr>
      <w:ind w:left="442" w:firstLine="0"/>
    </w:pPr>
    <w:rPr>
      <w:i/>
      <w:iCs/>
    </w:rPr>
  </w:style>
  <w:style w:type="paragraph" w:customStyle="1" w:styleId="SummaryHeading">
    <w:name w:val="Summary Heading"/>
    <w:basedOn w:val="Normal"/>
    <w:next w:val="BodyText"/>
    <w:pPr>
      <w:keepNext/>
      <w:spacing w:before="1200" w:after="720"/>
      <w:jc w:val="center"/>
    </w:pPr>
    <w:rPr>
      <w:b/>
      <w:bCs/>
      <w:caps/>
    </w:rPr>
  </w:style>
  <w:style w:type="paragraph" w:customStyle="1" w:styleId="Table">
    <w:name w:val="Table"/>
    <w:basedOn w:val="Normal"/>
    <w:next w:val="BodyText"/>
    <w:pPr>
      <w:spacing w:after="240"/>
      <w:jc w:val="center"/>
    </w:pPr>
  </w:style>
  <w:style w:type="paragraph" w:customStyle="1" w:styleId="TableNote">
    <w:name w:val="Table Note"/>
    <w:basedOn w:val="Normal"/>
    <w:pPr>
      <w:spacing w:after="120"/>
      <w:jc w:val="left"/>
    </w:pPr>
    <w:rPr>
      <w:rFonts w:ascii="Arial" w:hAnsi="Arial" w:cs="Arial"/>
      <w:sz w:val="16"/>
      <w:szCs w:val="18"/>
    </w:rPr>
  </w:style>
  <w:style w:type="paragraph" w:customStyle="1" w:styleId="TableofContentsHeading">
    <w:name w:val="Table of Contents Heading"/>
    <w:basedOn w:val="Normal"/>
    <w:next w:val="BodyText"/>
    <w:pPr>
      <w:keepNext/>
      <w:spacing w:before="1200" w:after="720"/>
      <w:jc w:val="center"/>
    </w:pPr>
    <w:rPr>
      <w:b/>
      <w:bCs/>
      <w:caps/>
    </w:rPr>
  </w:style>
  <w:style w:type="paragraph" w:customStyle="1" w:styleId="TableSub-title">
    <w:name w:val="Table Sub-title"/>
    <w:basedOn w:val="Normal"/>
    <w:pPr>
      <w:keepNext/>
      <w:spacing w:after="240"/>
      <w:jc w:val="center"/>
    </w:pPr>
    <w:rPr>
      <w:rFonts w:ascii="Arial" w:hAnsi="Arial" w:cs="Arial"/>
      <w:sz w:val="18"/>
    </w:rPr>
  </w:style>
  <w:style w:type="paragraph" w:customStyle="1" w:styleId="TableTitle">
    <w:name w:val="Table Title"/>
    <w:basedOn w:val="Normal"/>
    <w:pPr>
      <w:keepNext/>
      <w:spacing w:after="240"/>
      <w:jc w:val="center"/>
    </w:pPr>
    <w:rPr>
      <w:rFonts w:ascii="Arial" w:hAnsi="Arial" w:cs="Arial"/>
      <w:b/>
      <w:bCs/>
      <w:sz w:val="18"/>
    </w:rPr>
  </w:style>
  <w:style w:type="paragraph" w:customStyle="1" w:styleId="TextBox">
    <w:name w:val="Text Box"/>
    <w:basedOn w:val="BodyText"/>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OC1">
    <w:name w:val="toc 1"/>
    <w:basedOn w:val="Normal"/>
    <w:next w:val="Normal"/>
    <w:uiPriority w:val="39"/>
    <w:qFormat/>
    <w:pPr>
      <w:tabs>
        <w:tab w:val="clear" w:pos="850"/>
        <w:tab w:val="clear" w:pos="1191"/>
        <w:tab w:val="clear" w:pos="1531"/>
        <w:tab w:val="right" w:leader="dot" w:pos="9468"/>
      </w:tabs>
      <w:spacing w:before="120" w:after="120"/>
    </w:pPr>
    <w:rPr>
      <w:caps/>
    </w:rPr>
  </w:style>
  <w:style w:type="paragraph" w:styleId="TOC2">
    <w:name w:val="toc 2"/>
    <w:basedOn w:val="Normal"/>
    <w:next w:val="Normal"/>
    <w:uiPriority w:val="39"/>
    <w:qFormat/>
    <w:pPr>
      <w:tabs>
        <w:tab w:val="clear" w:pos="850"/>
        <w:tab w:val="clear" w:pos="1191"/>
        <w:tab w:val="clear" w:pos="1531"/>
        <w:tab w:val="right" w:leader="dot" w:pos="9468"/>
      </w:tabs>
      <w:ind w:left="198"/>
    </w:pPr>
  </w:style>
  <w:style w:type="paragraph" w:styleId="TOC3">
    <w:name w:val="toc 3"/>
    <w:basedOn w:val="Normal"/>
    <w:next w:val="Normal"/>
    <w:uiPriority w:val="39"/>
    <w:qFormat/>
    <w:pPr>
      <w:tabs>
        <w:tab w:val="clear" w:pos="850"/>
        <w:tab w:val="clear" w:pos="1191"/>
        <w:tab w:val="clear" w:pos="1531"/>
        <w:tab w:val="right" w:leader="dot" w:pos="9468"/>
      </w:tabs>
      <w:ind w:left="397"/>
    </w:pPr>
  </w:style>
  <w:style w:type="paragraph" w:styleId="TOC4">
    <w:name w:val="toc 4"/>
    <w:basedOn w:val="Normal"/>
    <w:next w:val="Normal"/>
    <w:qFormat/>
    <w:pPr>
      <w:tabs>
        <w:tab w:val="clear" w:pos="850"/>
        <w:tab w:val="clear" w:pos="1191"/>
        <w:tab w:val="clear" w:pos="1531"/>
        <w:tab w:val="right" w:leader="dot" w:pos="9468"/>
      </w:tabs>
      <w:ind w:left="595"/>
    </w:pPr>
    <w:rPr>
      <w:noProof/>
    </w:rPr>
  </w:style>
  <w:style w:type="paragraph" w:styleId="TOC5">
    <w:name w:val="toc 5"/>
    <w:basedOn w:val="Normal"/>
    <w:next w:val="Normal"/>
    <w:qFormat/>
    <w:pPr>
      <w:tabs>
        <w:tab w:val="clear" w:pos="850"/>
        <w:tab w:val="clear" w:pos="1191"/>
        <w:tab w:val="clear" w:pos="1531"/>
        <w:tab w:val="right" w:leader="dot" w:pos="9468"/>
      </w:tabs>
      <w:ind w:left="794"/>
    </w:pPr>
    <w:rPr>
      <w:noProof/>
    </w:rPr>
  </w:style>
  <w:style w:type="paragraph" w:customStyle="1" w:styleId="IndexHeading1">
    <w:name w:val="Index Heading1"/>
    <w:basedOn w:val="Normal"/>
    <w:next w:val="BodyText"/>
    <w:pPr>
      <w:keepNext/>
      <w:spacing w:before="1200" w:after="720"/>
      <w:jc w:val="center"/>
    </w:pPr>
    <w:rPr>
      <w:b/>
      <w:caps/>
      <w:lang w:val="en-US"/>
    </w:rPr>
  </w:style>
  <w:style w:type="paragraph" w:styleId="BlockText">
    <w:name w:val="Block Text"/>
    <w:basedOn w:val="Normal"/>
    <w:pPr>
      <w:spacing w:after="120"/>
      <w:ind w:left="1440" w:right="1440"/>
    </w:pPr>
  </w:style>
  <w:style w:type="paragraph" w:styleId="TOC9">
    <w:name w:val="toc 9"/>
    <w:basedOn w:val="Normal"/>
    <w:next w:val="Normal"/>
    <w:qFormat/>
    <w:pPr>
      <w:tabs>
        <w:tab w:val="clear" w:pos="850"/>
        <w:tab w:val="clear" w:pos="1191"/>
        <w:tab w:val="clear" w:pos="1531"/>
      </w:tabs>
      <w:ind w:left="1760"/>
    </w:pPr>
  </w:style>
  <w:style w:type="paragraph" w:customStyle="1" w:styleId="Abstract">
    <w:name w:val="Abstract"/>
    <w:basedOn w:val="BodyText"/>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pPr>
      <w:ind w:firstLine="0"/>
    </w:pPr>
    <w:rPr>
      <w:lang w:val="en-US"/>
    </w:rPr>
  </w:style>
  <w:style w:type="paragraph" w:customStyle="1" w:styleId="Chart">
    <w:name w:val="Chart"/>
    <w:basedOn w:val="Normal"/>
    <w:next w:val="BodyText"/>
    <w:pPr>
      <w:spacing w:after="240"/>
      <w:jc w:val="center"/>
    </w:pPr>
    <w:rPr>
      <w:lang w:val="en-US"/>
    </w:rPr>
  </w:style>
  <w:style w:type="paragraph" w:customStyle="1" w:styleId="ChartSub-title">
    <w:name w:val="Chart Sub-title"/>
    <w:basedOn w:val="Normal"/>
    <w:pPr>
      <w:keepNext/>
      <w:spacing w:after="120"/>
      <w:jc w:val="center"/>
    </w:pPr>
    <w:rPr>
      <w:rFonts w:ascii="Arial" w:hAnsi="Arial" w:cs="Arial"/>
      <w:sz w:val="18"/>
      <w:lang w:val="en-US"/>
    </w:rPr>
  </w:style>
  <w:style w:type="paragraph" w:customStyle="1" w:styleId="ChartTitle">
    <w:name w:val="Chart Title"/>
    <w:basedOn w:val="Normal"/>
    <w:next w:val="ChartSub-title"/>
    <w:pPr>
      <w:keepNext/>
      <w:spacing w:after="240"/>
      <w:jc w:val="center"/>
    </w:pPr>
    <w:rPr>
      <w:rFonts w:ascii="Arial" w:hAnsi="Arial" w:cs="Arial"/>
      <w:b/>
      <w:sz w:val="18"/>
      <w:lang w:val="en-US"/>
    </w:rPr>
  </w:style>
  <w:style w:type="paragraph" w:customStyle="1" w:styleId="ChartNote">
    <w:name w:val="Chart Note"/>
    <w:basedOn w:val="Normal"/>
    <w:pPr>
      <w:spacing w:after="120"/>
      <w:jc w:val="left"/>
    </w:pPr>
    <w:rPr>
      <w:rFonts w:ascii="Arial" w:hAnsi="Arial" w:cs="Arial"/>
      <w:sz w:val="16"/>
      <w:lang w:val="en-US"/>
    </w:rPr>
  </w:style>
  <w:style w:type="paragraph" w:customStyle="1" w:styleId="BoxHeading2">
    <w:name w:val="Box Heading 2"/>
    <w:basedOn w:val="Normal"/>
    <w:next w:val="BoxBodyText"/>
    <w:pPr>
      <w:spacing w:before="240" w:after="240"/>
      <w:jc w:val="left"/>
    </w:pPr>
    <w:rPr>
      <w:rFonts w:ascii="Arial" w:hAnsi="Arial" w:cs="Arial"/>
      <w:b/>
      <w:sz w:val="18"/>
      <w:lang w:val="en-US"/>
    </w:rPr>
  </w:style>
  <w:style w:type="paragraph" w:customStyle="1" w:styleId="BoxHeading3">
    <w:name w:val="Box Heading 3"/>
    <w:basedOn w:val="Normal"/>
    <w:next w:val="BoxBodyText"/>
    <w:pPr>
      <w:spacing w:before="240" w:after="240"/>
      <w:jc w:val="left"/>
    </w:pPr>
    <w:rPr>
      <w:rFonts w:ascii="Arial" w:hAnsi="Arial" w:cs="Arial"/>
      <w:b/>
      <w:i/>
      <w:sz w:val="18"/>
      <w:lang w:val="en-US"/>
    </w:rPr>
  </w:style>
  <w:style w:type="paragraph" w:customStyle="1" w:styleId="BoxNote">
    <w:name w:val="Box Note"/>
    <w:basedOn w:val="Normal"/>
    <w:pPr>
      <w:tabs>
        <w:tab w:val="clear" w:pos="850"/>
        <w:tab w:val="clear" w:pos="1191"/>
        <w:tab w:val="clear" w:pos="1531"/>
        <w:tab w:val="left" w:pos="340"/>
      </w:tabs>
      <w:spacing w:after="120"/>
      <w:jc w:val="left"/>
    </w:pPr>
    <w:rPr>
      <w:rFonts w:ascii="Arial" w:hAnsi="Arial" w:cs="Arial"/>
      <w:sz w:val="18"/>
      <w:lang w:val="en-US"/>
    </w:rPr>
  </w:style>
  <w:style w:type="paragraph" w:customStyle="1" w:styleId="ListBulletBox">
    <w:name w:val="List Bullet Box"/>
    <w:basedOn w:val="Normal"/>
    <w:pPr>
      <w:numPr>
        <w:numId w:val="11"/>
      </w:numPr>
      <w:tabs>
        <w:tab w:val="clear" w:pos="1191"/>
        <w:tab w:val="clear" w:pos="1531"/>
      </w:tabs>
      <w:spacing w:after="240"/>
    </w:pPr>
    <w:rPr>
      <w:rFonts w:ascii="Arial" w:hAnsi="Arial" w:cs="Arial"/>
      <w:sz w:val="18"/>
      <w:lang w:val="en-US"/>
    </w:rPr>
  </w:style>
  <w:style w:type="paragraph" w:customStyle="1" w:styleId="ListBulletBox2">
    <w:name w:val="List Bullet Box 2"/>
    <w:basedOn w:val="Normal"/>
    <w:pPr>
      <w:numPr>
        <w:numId w:val="12"/>
      </w:numPr>
      <w:tabs>
        <w:tab w:val="clear" w:pos="850"/>
        <w:tab w:val="clear" w:pos="1531"/>
      </w:tabs>
      <w:spacing w:after="240"/>
    </w:pPr>
    <w:rPr>
      <w:rFonts w:ascii="Arial" w:hAnsi="Arial" w:cs="Arial"/>
      <w:sz w:val="18"/>
      <w:lang w:val="en-US"/>
    </w:rPr>
  </w:style>
  <w:style w:type="paragraph" w:customStyle="1" w:styleId="ListBulletBox3">
    <w:name w:val="List Bullet Box 3"/>
    <w:basedOn w:val="Normal"/>
    <w:pPr>
      <w:numPr>
        <w:numId w:val="13"/>
      </w:numPr>
      <w:tabs>
        <w:tab w:val="clear" w:pos="850"/>
        <w:tab w:val="clear" w:pos="1191"/>
        <w:tab w:val="clear" w:pos="1531"/>
      </w:tabs>
      <w:spacing w:after="240"/>
    </w:pPr>
    <w:rPr>
      <w:rFonts w:ascii="Arial" w:hAnsi="Arial" w:cs="Arial"/>
      <w:sz w:val="18"/>
      <w:lang w:val="en-US"/>
    </w:rPr>
  </w:style>
  <w:style w:type="paragraph" w:customStyle="1" w:styleId="ListNumberBox">
    <w:name w:val="List Number Box"/>
    <w:basedOn w:val="Normal"/>
    <w:pPr>
      <w:numPr>
        <w:numId w:val="14"/>
      </w:numPr>
      <w:tabs>
        <w:tab w:val="clear" w:pos="1191"/>
        <w:tab w:val="clear" w:pos="1531"/>
        <w:tab w:val="clear" w:pos="1950"/>
      </w:tabs>
      <w:spacing w:after="240"/>
      <w:ind w:left="850"/>
    </w:pPr>
    <w:rPr>
      <w:rFonts w:ascii="Arial" w:hAnsi="Arial" w:cs="Arial"/>
      <w:sz w:val="18"/>
      <w:lang w:val="en-US"/>
    </w:rPr>
  </w:style>
  <w:style w:type="paragraph" w:customStyle="1" w:styleId="ListNumberBox2">
    <w:name w:val="List Number Box 2"/>
    <w:basedOn w:val="Normal"/>
    <w:pPr>
      <w:numPr>
        <w:ilvl w:val="1"/>
        <w:numId w:val="14"/>
      </w:numPr>
      <w:tabs>
        <w:tab w:val="clear" w:pos="850"/>
        <w:tab w:val="clear" w:pos="1531"/>
        <w:tab w:val="clear" w:pos="2291"/>
      </w:tabs>
      <w:spacing w:after="240"/>
      <w:ind w:left="1191" w:hanging="340"/>
    </w:pPr>
    <w:rPr>
      <w:rFonts w:ascii="Arial" w:hAnsi="Arial" w:cs="Arial"/>
      <w:sz w:val="18"/>
      <w:lang w:val="en-US"/>
    </w:rPr>
  </w:style>
  <w:style w:type="paragraph" w:customStyle="1" w:styleId="ListNumberBox3">
    <w:name w:val="List Number Box 3"/>
    <w:basedOn w:val="Normal"/>
    <w:pPr>
      <w:numPr>
        <w:ilvl w:val="2"/>
        <w:numId w:val="14"/>
      </w:numPr>
      <w:tabs>
        <w:tab w:val="clear" w:pos="850"/>
        <w:tab w:val="clear" w:pos="1191"/>
        <w:tab w:val="clear" w:pos="1531"/>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al"/>
    <w:pPr>
      <w:tabs>
        <w:tab w:val="clear" w:pos="850"/>
        <w:tab w:val="clear" w:pos="1191"/>
        <w:tab w:val="clear" w:pos="1531"/>
      </w:tabs>
      <w:spacing w:after="240"/>
      <w:ind w:left="850"/>
    </w:pPr>
    <w:rPr>
      <w:rFonts w:ascii="Arial" w:hAnsi="Arial" w:cs="Arial"/>
      <w:sz w:val="18"/>
      <w:lang w:val="en-US"/>
    </w:rPr>
  </w:style>
  <w:style w:type="paragraph" w:customStyle="1" w:styleId="ListContinueBox2">
    <w:name w:val="List Continue Box 2"/>
    <w:basedOn w:val="Normal"/>
    <w:pPr>
      <w:tabs>
        <w:tab w:val="clear" w:pos="850"/>
        <w:tab w:val="clear" w:pos="1191"/>
        <w:tab w:val="clear" w:pos="1531"/>
      </w:tabs>
      <w:spacing w:after="240"/>
      <w:ind w:left="1191"/>
    </w:pPr>
    <w:rPr>
      <w:rFonts w:ascii="Arial" w:hAnsi="Arial" w:cs="Arial"/>
      <w:sz w:val="18"/>
      <w:lang w:val="en-US"/>
    </w:rPr>
  </w:style>
  <w:style w:type="paragraph" w:customStyle="1" w:styleId="ListContinueBox3">
    <w:name w:val="List Continue Box 3"/>
    <w:basedOn w:val="Normal"/>
    <w:pPr>
      <w:tabs>
        <w:tab w:val="clear" w:pos="850"/>
        <w:tab w:val="clear" w:pos="1191"/>
        <w:tab w:val="clear" w:pos="1531"/>
      </w:tabs>
      <w:spacing w:after="240"/>
      <w:ind w:left="1474"/>
    </w:pPr>
    <w:rPr>
      <w:rFonts w:ascii="Arial" w:hAnsi="Arial" w:cs="Arial"/>
      <w:sz w:val="18"/>
      <w:lang w:val="en-US"/>
    </w:rPr>
  </w:style>
  <w:style w:type="paragraph" w:customStyle="1" w:styleId="BoxSource">
    <w:name w:val="Box Source"/>
    <w:basedOn w:val="Normal"/>
    <w:next w:val="BodyText"/>
    <w:pPr>
      <w:spacing w:after="360"/>
    </w:pPr>
    <w:rPr>
      <w:rFonts w:ascii="Arial" w:hAnsi="Arial" w:cs="Arial"/>
      <w:sz w:val="16"/>
      <w:lang w:val="en-US"/>
    </w:rPr>
  </w:style>
  <w:style w:type="character" w:customStyle="1" w:styleId="Cote">
    <w:name w:val="Cote"/>
    <w:basedOn w:val="DefaultParagraphFont"/>
    <w:rPr>
      <w:caps/>
      <w:smallCaps w:val="0"/>
      <w:lang w:val="en-US"/>
    </w:rPr>
  </w:style>
  <w:style w:type="numbering" w:customStyle="1" w:styleId="NumberedNote">
    <w:name w:val="Numbered Note"/>
    <w:basedOn w:val="NoList"/>
    <w:pPr>
      <w:numPr>
        <w:numId w:val="1"/>
      </w:numPr>
    </w:pPr>
  </w:style>
  <w:style w:type="numbering" w:customStyle="1" w:styleId="BulletedNote">
    <w:name w:val="Bulleted Note"/>
    <w:basedOn w:val="NoList"/>
    <w:pPr>
      <w:numPr>
        <w:numId w:val="2"/>
      </w:numPr>
    </w:pPr>
  </w:style>
  <w:style w:type="numbering" w:customStyle="1" w:styleId="NumericNote">
    <w:name w:val="Numeric Note"/>
    <w:basedOn w:val="NoList"/>
    <w:pPr>
      <w:numPr>
        <w:numId w:val="3"/>
      </w:numPr>
    </w:pPr>
  </w:style>
  <w:style w:type="numbering" w:customStyle="1" w:styleId="AlphaNote">
    <w:name w:val="Alpha Note"/>
    <w:basedOn w:val="NoList"/>
    <w:pPr>
      <w:numPr>
        <w:numId w:val="4"/>
      </w:numPr>
    </w:pPr>
  </w:style>
  <w:style w:type="paragraph" w:customStyle="1" w:styleId="AcknowledgementHeading">
    <w:name w:val="Acknowledgement Heading"/>
    <w:basedOn w:val="Normal"/>
    <w:next w:val="BodyText"/>
    <w:pPr>
      <w:keepNext/>
      <w:spacing w:before="1200" w:after="720"/>
      <w:jc w:val="center"/>
    </w:pPr>
    <w:rPr>
      <w:b/>
      <w:caps/>
      <w:lang w:val="en-US"/>
    </w:rPr>
  </w:style>
  <w:style w:type="paragraph" w:styleId="EnvelopeAddress">
    <w:name w:val="envelope address"/>
    <w:basedOn w:val="Normal"/>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CommentText">
    <w:name w:val="annotation text"/>
    <w:basedOn w:val="Normal"/>
    <w:link w:val="CommentTextChar"/>
    <w:semiHidden/>
    <w:rPr>
      <w:sz w:val="20"/>
      <w:szCs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Header">
    <w:name w:val="header"/>
    <w:basedOn w:val="Normal"/>
    <w:link w:val="HeaderChar"/>
    <w:uiPriority w:val="99"/>
    <w:pPr>
      <w:tabs>
        <w:tab w:val="clear" w:pos="850"/>
        <w:tab w:val="clear" w:pos="1191"/>
        <w:tab w:val="clear" w:pos="1531"/>
        <w:tab w:val="center" w:pos="4536"/>
        <w:tab w:val="right" w:pos="9072"/>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2">
    <w:name w:val="index 2"/>
    <w:basedOn w:val="Normal"/>
    <w:next w:val="Normal"/>
    <w:semiHidden/>
    <w:pPr>
      <w:tabs>
        <w:tab w:val="clear" w:pos="850"/>
        <w:tab w:val="clear" w:pos="1191"/>
        <w:tab w:val="clear" w:pos="1531"/>
      </w:tabs>
      <w:ind w:left="440" w:hanging="220"/>
    </w:pPr>
  </w:style>
  <w:style w:type="paragraph" w:styleId="Index3">
    <w:name w:val="index 3"/>
    <w:basedOn w:val="Normal"/>
    <w:next w:val="Normal"/>
    <w:semiHidden/>
    <w:pPr>
      <w:tabs>
        <w:tab w:val="clear" w:pos="850"/>
        <w:tab w:val="clear" w:pos="1191"/>
        <w:tab w:val="clear" w:pos="1531"/>
      </w:tabs>
      <w:ind w:left="660" w:hanging="220"/>
    </w:pPr>
  </w:style>
  <w:style w:type="paragraph" w:styleId="Index4">
    <w:name w:val="index 4"/>
    <w:basedOn w:val="Normal"/>
    <w:next w:val="Normal"/>
    <w:semiHidden/>
    <w:pPr>
      <w:tabs>
        <w:tab w:val="clear" w:pos="850"/>
        <w:tab w:val="clear" w:pos="1191"/>
        <w:tab w:val="clear" w:pos="1531"/>
      </w:tabs>
      <w:ind w:left="880" w:hanging="220"/>
    </w:pPr>
  </w:style>
  <w:style w:type="paragraph" w:styleId="Index5">
    <w:name w:val="index 5"/>
    <w:basedOn w:val="Normal"/>
    <w:next w:val="Normal"/>
    <w:semiHidden/>
    <w:pPr>
      <w:tabs>
        <w:tab w:val="clear" w:pos="850"/>
        <w:tab w:val="clear" w:pos="1191"/>
        <w:tab w:val="clear" w:pos="1531"/>
      </w:tabs>
      <w:ind w:left="1100" w:hanging="220"/>
    </w:pPr>
  </w:style>
  <w:style w:type="paragraph" w:styleId="Index6">
    <w:name w:val="index 6"/>
    <w:basedOn w:val="Normal"/>
    <w:next w:val="Normal"/>
    <w:semiHidden/>
    <w:pPr>
      <w:tabs>
        <w:tab w:val="clear" w:pos="850"/>
        <w:tab w:val="clear" w:pos="1191"/>
        <w:tab w:val="clear" w:pos="1531"/>
      </w:tabs>
      <w:ind w:left="1320" w:hanging="220"/>
    </w:pPr>
  </w:style>
  <w:style w:type="paragraph" w:styleId="Index7">
    <w:name w:val="index 7"/>
    <w:basedOn w:val="Normal"/>
    <w:next w:val="Normal"/>
    <w:semiHidden/>
    <w:pPr>
      <w:tabs>
        <w:tab w:val="clear" w:pos="850"/>
        <w:tab w:val="clear" w:pos="1191"/>
        <w:tab w:val="clear" w:pos="1531"/>
      </w:tabs>
      <w:ind w:left="1540" w:hanging="220"/>
    </w:pPr>
  </w:style>
  <w:style w:type="paragraph" w:styleId="Index8">
    <w:name w:val="index 8"/>
    <w:basedOn w:val="Normal"/>
    <w:next w:val="Normal"/>
    <w:semiHidden/>
    <w:pPr>
      <w:tabs>
        <w:tab w:val="clear" w:pos="850"/>
        <w:tab w:val="clear" w:pos="1191"/>
        <w:tab w:val="clear" w:pos="1531"/>
      </w:tabs>
      <w:ind w:left="1760" w:hanging="220"/>
    </w:pPr>
  </w:style>
  <w:style w:type="paragraph" w:styleId="Index9">
    <w:name w:val="index 9"/>
    <w:basedOn w:val="Normal"/>
    <w:next w:val="Normal"/>
    <w:semiHidden/>
    <w:pPr>
      <w:tabs>
        <w:tab w:val="clear" w:pos="850"/>
        <w:tab w:val="clear" w:pos="1191"/>
        <w:tab w:val="clear" w:pos="1531"/>
      </w:tabs>
      <w:ind w:left="1980" w:hanging="220"/>
    </w:pPr>
  </w:style>
  <w:style w:type="paragraph" w:styleId="Caption">
    <w:name w:val="caption"/>
    <w:basedOn w:val="Normal"/>
    <w:next w:val="Normal"/>
    <w:qFormat/>
    <w:pPr>
      <w:spacing w:before="120" w:after="120"/>
    </w:pPr>
    <w:rPr>
      <w:b/>
      <w:bCs/>
      <w:sz w:val="20"/>
      <w:szCs w:val="20"/>
    </w:rPr>
  </w:style>
  <w:style w:type="paragraph" w:styleId="NormalWeb">
    <w:name w:val="Normal (Web)"/>
    <w:basedOn w:val="Normal"/>
    <w:uiPriority w:val="99"/>
    <w:rPr>
      <w:sz w:val="24"/>
      <w:szCs w:val="24"/>
    </w:rPr>
  </w:style>
  <w:style w:type="paragraph" w:styleId="CommentSubject">
    <w:name w:val="annotation subject"/>
    <w:basedOn w:val="CommentText"/>
    <w:next w:val="CommentText"/>
    <w:link w:val="CommentSubjectChar"/>
    <w:uiPriority w:val="99"/>
    <w:semiHidden/>
    <w:rPr>
      <w:b/>
      <w:bCs/>
    </w:rPr>
  </w:style>
  <w:style w:type="paragraph" w:styleId="Footer">
    <w:name w:val="footer"/>
    <w:basedOn w:val="Normal"/>
    <w:link w:val="FooterChar"/>
    <w:uiPriority w:val="99"/>
    <w:pPr>
      <w:tabs>
        <w:tab w:val="clear" w:pos="850"/>
        <w:tab w:val="clear" w:pos="1191"/>
        <w:tab w:val="clear" w:pos="1531"/>
        <w:tab w:val="center" w:pos="4536"/>
        <w:tab w:val="right" w:pos="9072"/>
      </w:tabs>
    </w:pPr>
  </w:style>
  <w:style w:type="paragraph" w:styleId="HTMLPreformatted">
    <w:name w:val="HTML Preformatted"/>
    <w:basedOn w:val="Normal"/>
    <w:rPr>
      <w:rFonts w:ascii="Courier New" w:hAnsi="Courier New" w:cs="Courier New"/>
      <w:sz w:val="20"/>
      <w:szCs w:val="20"/>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240"/>
      <w:ind w:left="442"/>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08"/>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 w:val="24"/>
      <w:szCs w:val="24"/>
    </w:rPr>
  </w:style>
  <w:style w:type="paragraph" w:styleId="TableofFigures">
    <w:name w:val="table of figures"/>
    <w:basedOn w:val="Normal"/>
    <w:next w:val="Normal"/>
    <w:semiHidden/>
    <w:pPr>
      <w:tabs>
        <w:tab w:val="clear" w:pos="850"/>
        <w:tab w:val="clear" w:pos="1191"/>
        <w:tab w:val="clear" w:pos="1531"/>
      </w:tabs>
      <w:ind w:left="440" w:hanging="440"/>
    </w:pPr>
  </w:style>
  <w:style w:type="paragraph" w:styleId="TableofAuthorities">
    <w:name w:val="table of authorities"/>
    <w:basedOn w:val="Normal"/>
    <w:next w:val="Normal"/>
    <w:semiHidden/>
    <w:pPr>
      <w:tabs>
        <w:tab w:val="clear" w:pos="850"/>
        <w:tab w:val="clear" w:pos="1191"/>
        <w:tab w:val="clear" w:pos="1531"/>
      </w:tabs>
      <w:ind w:left="220" w:hanging="220"/>
    </w:pPr>
  </w:style>
  <w:style w:type="paragraph" w:styleId="PlainText">
    <w:name w:val="Plain Text"/>
    <w:basedOn w:val="Normal"/>
    <w:rPr>
      <w:rFonts w:ascii="Courier New" w:hAnsi="Courier New" w:cs="Courier New"/>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TOAHeading">
    <w:name w:val="toa heading"/>
    <w:basedOn w:val="Normal"/>
    <w:next w:val="Normal"/>
    <w:semiHidden/>
    <w:pPr>
      <w:spacing w:before="120"/>
    </w:pPr>
    <w:rPr>
      <w:rFonts w:ascii="Arial" w:hAnsi="Arial" w:cs="Arial"/>
      <w:b/>
      <w:bCs/>
      <w:sz w:val="24"/>
      <w:szCs w:val="24"/>
    </w:rPr>
  </w:style>
  <w:style w:type="paragraph" w:styleId="TOC6">
    <w:name w:val="toc 6"/>
    <w:basedOn w:val="Normal"/>
    <w:next w:val="Normal"/>
    <w:qFormat/>
    <w:pPr>
      <w:tabs>
        <w:tab w:val="clear" w:pos="850"/>
        <w:tab w:val="clear" w:pos="1191"/>
        <w:tab w:val="clear" w:pos="1531"/>
      </w:tabs>
      <w:ind w:left="1100"/>
    </w:pPr>
  </w:style>
  <w:style w:type="paragraph" w:styleId="TOC7">
    <w:name w:val="toc 7"/>
    <w:basedOn w:val="Normal"/>
    <w:next w:val="Normal"/>
    <w:qFormat/>
    <w:pPr>
      <w:tabs>
        <w:tab w:val="clear" w:pos="850"/>
        <w:tab w:val="clear" w:pos="1191"/>
        <w:tab w:val="clear" w:pos="1531"/>
      </w:tabs>
      <w:ind w:left="1320"/>
    </w:pPr>
  </w:style>
  <w:style w:type="paragraph" w:styleId="TOC8">
    <w:name w:val="toc 8"/>
    <w:basedOn w:val="Normal"/>
    <w:next w:val="Normal"/>
    <w:qFormat/>
    <w:pPr>
      <w:tabs>
        <w:tab w:val="clear" w:pos="850"/>
        <w:tab w:val="clear" w:pos="1191"/>
        <w:tab w:val="clear" w:pos="1531"/>
      </w:tabs>
      <w:ind w:left="1540"/>
    </w:pPr>
  </w:style>
  <w:style w:type="paragraph" w:customStyle="1" w:styleId="BoxBodyText">
    <w:name w:val="Box Body Text"/>
    <w:basedOn w:val="Normal"/>
    <w:pPr>
      <w:spacing w:after="240"/>
      <w:ind w:firstLine="442"/>
    </w:pPr>
    <w:rPr>
      <w:rFonts w:ascii="Arial" w:hAnsi="Arial" w:cs="Arial"/>
      <w:sz w:val="18"/>
      <w:lang w:val="en-US"/>
    </w:rPr>
  </w:style>
  <w:style w:type="paragraph" w:customStyle="1" w:styleId="BoxBodyTextIndent">
    <w:name w:val="Box Body Text Indent"/>
    <w:basedOn w:val="Normal"/>
    <w:pPr>
      <w:spacing w:after="240"/>
      <w:ind w:left="442"/>
    </w:pPr>
    <w:rPr>
      <w:rFonts w:ascii="Arial" w:hAnsi="Arial" w:cs="Arial"/>
      <w:sz w:val="18"/>
      <w:lang w:val="en-US"/>
    </w:rPr>
  </w:style>
  <w:style w:type="character" w:styleId="PageNumber">
    <w:name w:val="page number"/>
    <w:basedOn w:val="DefaultParagraphFont"/>
    <w:uiPriority w:val="99"/>
    <w:semiHidden/>
    <w:unhideWhenUsed/>
  </w:style>
  <w:style w:type="paragraph" w:styleId="Bibliography">
    <w:name w:val="Bibliography"/>
    <w:basedOn w:val="Normal"/>
    <w:next w:val="Normal"/>
    <w:uiPriority w:val="37"/>
    <w:unhideWhenUsed/>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szCs w:val="22"/>
      <w:lang w:val="en-GB" w:eastAsia="zh-CN"/>
    </w:rPr>
  </w:style>
  <w:style w:type="paragraph" w:styleId="ListParagraph">
    <w:name w:val="List Paragraph"/>
    <w:basedOn w:val="Normal"/>
    <w:uiPriority w:val="34"/>
    <w:qFormat/>
    <w:pPr>
      <w:ind w:left="720"/>
      <w:contextualSpacing/>
    </w:pPr>
  </w:style>
  <w:style w:type="paragraph" w:styleId="NoSpacing">
    <w:name w:val="No Spacing"/>
    <w:uiPriority w:val="1"/>
    <w:qFormat/>
    <w:pPr>
      <w:tabs>
        <w:tab w:val="left" w:pos="850"/>
        <w:tab w:val="left" w:pos="1191"/>
        <w:tab w:val="left" w:pos="1531"/>
      </w:tabs>
      <w:jc w:val="both"/>
    </w:pPr>
    <w:rPr>
      <w:sz w:val="22"/>
      <w:szCs w:val="22"/>
      <w:lang w:val="en-GB" w:eastAsia="zh-CN"/>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szCs w:val="22"/>
      <w:lang w:val="en-GB" w:eastAsia="zh-CN"/>
    </w:rPr>
  </w:style>
  <w:style w:type="paragraph" w:styleId="TOCHeading">
    <w:name w:val="TOC Heading"/>
    <w:basedOn w:val="Heading1"/>
    <w:next w:val="Norma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BodyText"/>
    <w:link w:val="CitationChar"/>
    <w:pPr>
      <w:ind w:left="850" w:firstLine="0"/>
      <w:jc w:val="left"/>
    </w:pPr>
  </w:style>
  <w:style w:type="character" w:customStyle="1" w:styleId="CitationChar">
    <w:name w:val="Citation Char"/>
    <w:basedOn w:val="DefaultParagraphFont"/>
    <w:link w:val="Citation"/>
    <w:rPr>
      <w:sz w:val="22"/>
      <w:szCs w:val="22"/>
      <w:lang w:val="en-GB" w:eastAsia="zh-CN"/>
    </w:rPr>
  </w:style>
  <w:style w:type="character" w:customStyle="1" w:styleId="Heading2Char">
    <w:name w:val="Heading 2 Char"/>
    <w:basedOn w:val="DefaultParagraphFont"/>
    <w:link w:val="Heading2"/>
    <w:rsid w:val="00B02A67"/>
    <w:rPr>
      <w:b/>
      <w:bCs/>
      <w:sz w:val="22"/>
      <w:szCs w:val="22"/>
      <w:lang w:val="en-GB" w:eastAsia="zh-CN"/>
    </w:rPr>
  </w:style>
  <w:style w:type="character" w:customStyle="1" w:styleId="BodyTextChar">
    <w:name w:val="Body Text Char"/>
    <w:aliases w:val="Body Text Char1 Char Char,Body Text Char Char Char Char,Body Text Char1 Char Char Char Char,Body Text Char Char Char Char Char Char,Body Text Char1 Char Char Char Char Char Char,Body Text Char Char Char Char Char Char Char Char"/>
    <w:basedOn w:val="DefaultParagraphFont"/>
    <w:link w:val="BodyText"/>
    <w:uiPriority w:val="99"/>
    <w:rsid w:val="00B02A67"/>
    <w:rPr>
      <w:sz w:val="22"/>
      <w:szCs w:val="22"/>
      <w:lang w:val="en-GB" w:eastAsia="zh-CN"/>
    </w:rPr>
  </w:style>
  <w:style w:type="character" w:customStyle="1" w:styleId="FootnoteTextChar">
    <w:name w:val="Footnote Text Char"/>
    <w:basedOn w:val="DefaultParagraphFont"/>
    <w:link w:val="FootnoteText"/>
    <w:uiPriority w:val="99"/>
    <w:rsid w:val="00B02A67"/>
    <w:rPr>
      <w:lang w:val="en-GB" w:eastAsia="zh-CN"/>
    </w:rPr>
  </w:style>
  <w:style w:type="character" w:customStyle="1" w:styleId="CommentTextChar">
    <w:name w:val="Comment Text Char"/>
    <w:basedOn w:val="DefaultParagraphFont"/>
    <w:link w:val="CommentText"/>
    <w:semiHidden/>
    <w:rsid w:val="00B02A67"/>
    <w:rPr>
      <w:lang w:val="en-GB" w:eastAsia="zh-CN"/>
    </w:rPr>
  </w:style>
  <w:style w:type="character" w:customStyle="1" w:styleId="normaltextrun">
    <w:name w:val="normaltextrun"/>
    <w:basedOn w:val="DefaultParagraphFont"/>
    <w:rsid w:val="00B02A67"/>
  </w:style>
  <w:style w:type="character" w:styleId="Hyperlink">
    <w:name w:val="Hyperlink"/>
    <w:basedOn w:val="DefaultParagraphFont"/>
    <w:uiPriority w:val="99"/>
    <w:unhideWhenUsed/>
    <w:rsid w:val="00B02A67"/>
    <w:rPr>
      <w:color w:val="0000FF" w:themeColor="hyperlink"/>
      <w:u w:val="single"/>
    </w:rPr>
  </w:style>
  <w:style w:type="character" w:customStyle="1" w:styleId="Num-DocParagraphChar">
    <w:name w:val="Num-Doc Paragraph Char"/>
    <w:link w:val="Num-DocParagraph"/>
    <w:rsid w:val="00B02A67"/>
    <w:rPr>
      <w:sz w:val="22"/>
      <w:szCs w:val="22"/>
      <w:lang w:val="en-GB" w:eastAsia="zh-CN"/>
    </w:rPr>
  </w:style>
  <w:style w:type="character" w:styleId="CommentReference">
    <w:name w:val="annotation reference"/>
    <w:basedOn w:val="DefaultParagraphFont"/>
    <w:uiPriority w:val="99"/>
    <w:semiHidden/>
    <w:unhideWhenUsed/>
    <w:rsid w:val="00B02A67"/>
    <w:rPr>
      <w:sz w:val="18"/>
      <w:szCs w:val="18"/>
    </w:rPr>
  </w:style>
  <w:style w:type="character" w:customStyle="1" w:styleId="BalloonTextChar">
    <w:name w:val="Balloon Text Char"/>
    <w:basedOn w:val="DefaultParagraphFont"/>
    <w:link w:val="BalloonText"/>
    <w:uiPriority w:val="99"/>
    <w:semiHidden/>
    <w:rsid w:val="00B02A67"/>
    <w:rPr>
      <w:rFonts w:ascii="Tahoma" w:hAnsi="Tahoma" w:cs="Tahoma"/>
      <w:sz w:val="16"/>
      <w:szCs w:val="16"/>
      <w:lang w:val="en-GB" w:eastAsia="zh-CN"/>
    </w:rPr>
  </w:style>
  <w:style w:type="character" w:customStyle="1" w:styleId="CommentSubjectChar">
    <w:name w:val="Comment Subject Char"/>
    <w:basedOn w:val="CommentTextChar"/>
    <w:link w:val="CommentSubject"/>
    <w:uiPriority w:val="99"/>
    <w:semiHidden/>
    <w:rsid w:val="00B02A67"/>
    <w:rPr>
      <w:b/>
      <w:bCs/>
      <w:lang w:val="en-GB" w:eastAsia="zh-CN"/>
    </w:rPr>
  </w:style>
  <w:style w:type="paragraph" w:styleId="Revision">
    <w:name w:val="Revision"/>
    <w:hidden/>
    <w:uiPriority w:val="99"/>
    <w:semiHidden/>
    <w:rsid w:val="00B02A67"/>
    <w:rPr>
      <w:sz w:val="22"/>
      <w:szCs w:val="22"/>
      <w:lang w:val="en-GB" w:eastAsia="zh-CN"/>
    </w:rPr>
  </w:style>
  <w:style w:type="character" w:customStyle="1" w:styleId="Heading3Char">
    <w:name w:val="Heading 3 Char"/>
    <w:basedOn w:val="DefaultParagraphFont"/>
    <w:link w:val="Heading3"/>
    <w:uiPriority w:val="9"/>
    <w:rsid w:val="00B02A67"/>
    <w:rPr>
      <w:b/>
      <w:bCs/>
      <w:i/>
      <w:iCs/>
      <w:sz w:val="22"/>
      <w:szCs w:val="22"/>
      <w:lang w:val="en-GB" w:eastAsia="zh-CN"/>
    </w:rPr>
  </w:style>
  <w:style w:type="paragraph" w:customStyle="1" w:styleId="Default">
    <w:name w:val="Default"/>
    <w:rsid w:val="00B02A67"/>
    <w:pPr>
      <w:autoSpaceDE w:val="0"/>
      <w:autoSpaceDN w:val="0"/>
      <w:adjustRightInd w:val="0"/>
    </w:pPr>
    <w:rPr>
      <w:color w:val="000000"/>
      <w:sz w:val="24"/>
      <w:szCs w:val="24"/>
      <w:lang w:val="en-GB"/>
    </w:rPr>
  </w:style>
  <w:style w:type="paragraph" w:customStyle="1" w:styleId="MainText">
    <w:name w:val="MainText"/>
    <w:basedOn w:val="BodyText"/>
    <w:qFormat/>
    <w:rsid w:val="00B02A67"/>
    <w:pPr>
      <w:tabs>
        <w:tab w:val="clear" w:pos="850"/>
        <w:tab w:val="clear" w:pos="1191"/>
        <w:tab w:val="clear" w:pos="1531"/>
      </w:tabs>
      <w:spacing w:after="120" w:line="480" w:lineRule="auto"/>
      <w:ind w:firstLine="0"/>
    </w:pPr>
    <w:rPr>
      <w:rFonts w:ascii="Helvetica" w:eastAsia="ヒラギノ角ゴ Pro W3" w:hAnsi="Helvetica"/>
      <w:color w:val="000000"/>
      <w:sz w:val="24"/>
      <w:szCs w:val="20"/>
      <w:lang w:val="en-US" w:eastAsia="en-US"/>
    </w:rPr>
  </w:style>
  <w:style w:type="character" w:customStyle="1" w:styleId="Heading1Char">
    <w:name w:val="Heading 1 Char"/>
    <w:basedOn w:val="DefaultParagraphFont"/>
    <w:link w:val="Heading1"/>
    <w:uiPriority w:val="9"/>
    <w:rsid w:val="00B02A67"/>
    <w:rPr>
      <w:b/>
      <w:bCs/>
      <w:caps/>
      <w:kern w:val="28"/>
      <w:sz w:val="22"/>
      <w:szCs w:val="22"/>
      <w:lang w:val="en-GB" w:eastAsia="zh-CN"/>
    </w:rPr>
  </w:style>
  <w:style w:type="character" w:customStyle="1" w:styleId="HeaderChar">
    <w:name w:val="Header Char"/>
    <w:basedOn w:val="DefaultParagraphFont"/>
    <w:link w:val="Header"/>
    <w:uiPriority w:val="99"/>
    <w:rsid w:val="00B02A67"/>
    <w:rPr>
      <w:sz w:val="22"/>
      <w:szCs w:val="22"/>
      <w:lang w:val="en-GB" w:eastAsia="zh-CN"/>
    </w:rPr>
  </w:style>
  <w:style w:type="character" w:customStyle="1" w:styleId="FooterChar">
    <w:name w:val="Footer Char"/>
    <w:basedOn w:val="DefaultParagraphFont"/>
    <w:link w:val="Footer"/>
    <w:uiPriority w:val="99"/>
    <w:rsid w:val="00B02A67"/>
    <w:rPr>
      <w:sz w:val="22"/>
      <w:szCs w:val="22"/>
      <w:lang w:val="en-GB" w:eastAsia="zh-CN"/>
    </w:rPr>
  </w:style>
  <w:style w:type="character" w:styleId="Emphasis">
    <w:name w:val="Emphasis"/>
    <w:basedOn w:val="DefaultParagraphFont"/>
    <w:uiPriority w:val="20"/>
    <w:qFormat/>
    <w:rsid w:val="00B02A67"/>
    <w:rPr>
      <w:i/>
      <w:iCs/>
    </w:rPr>
  </w:style>
  <w:style w:type="paragraph" w:customStyle="1" w:styleId="Num">
    <w:name w:val="Num"/>
    <w:basedOn w:val="Normal"/>
    <w:rsid w:val="000623DD"/>
    <w:rPr>
      <w:b/>
      <w:bCs/>
    </w:rPr>
  </w:style>
  <w:style w:type="character" w:customStyle="1" w:styleId="highlight0">
    <w:name w:val="highlight"/>
    <w:basedOn w:val="DefaultParagraphFont"/>
    <w:rsid w:val="00D353B8"/>
  </w:style>
  <w:style w:type="character" w:styleId="FollowedHyperlink">
    <w:name w:val="FollowedHyperlink"/>
    <w:basedOn w:val="DefaultParagraphFont"/>
    <w:uiPriority w:val="99"/>
    <w:semiHidden/>
    <w:unhideWhenUsed/>
    <w:rsid w:val="00665B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nnexHeading">
    <w:name w:val="BulletedNote"/>
    <w:pPr>
      <w:numPr>
        <w:numId w:val="2"/>
      </w:numPr>
    </w:pPr>
  </w:style>
  <w:style w:type="numbering" w:customStyle="1" w:styleId="BodyText">
    <w:name w:val="NumericNote"/>
    <w:pPr>
      <w:numPr>
        <w:numId w:val="3"/>
      </w:numPr>
    </w:pPr>
  </w:style>
  <w:style w:type="numbering" w:customStyle="1" w:styleId="Annotation">
    <w:name w:val="NumberedNote"/>
    <w:pPr>
      <w:numPr>
        <w:numId w:val="1"/>
      </w:numPr>
    </w:pPr>
  </w:style>
  <w:style w:type="numbering" w:customStyle="1" w:styleId="AppendixHeading">
    <w:name w:val="AlphaNo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3573">
      <w:bodyDiv w:val="1"/>
      <w:marLeft w:val="0"/>
      <w:marRight w:val="0"/>
      <w:marTop w:val="0"/>
      <w:marBottom w:val="0"/>
      <w:divBdr>
        <w:top w:val="none" w:sz="0" w:space="0" w:color="auto"/>
        <w:left w:val="none" w:sz="0" w:space="0" w:color="auto"/>
        <w:bottom w:val="none" w:sz="0" w:space="0" w:color="auto"/>
        <w:right w:val="none" w:sz="0" w:space="0" w:color="auto"/>
      </w:divBdr>
      <w:divsChild>
        <w:div w:id="595137398">
          <w:marLeft w:val="0"/>
          <w:marRight w:val="0"/>
          <w:marTop w:val="0"/>
          <w:marBottom w:val="0"/>
          <w:divBdr>
            <w:top w:val="none" w:sz="0" w:space="0" w:color="auto"/>
            <w:left w:val="none" w:sz="0" w:space="0" w:color="auto"/>
            <w:bottom w:val="none" w:sz="0" w:space="0" w:color="auto"/>
            <w:right w:val="none" w:sz="0" w:space="0" w:color="auto"/>
          </w:divBdr>
          <w:divsChild>
            <w:div w:id="1568416421">
              <w:marLeft w:val="0"/>
              <w:marRight w:val="0"/>
              <w:marTop w:val="0"/>
              <w:marBottom w:val="0"/>
              <w:divBdr>
                <w:top w:val="none" w:sz="0" w:space="0" w:color="auto"/>
                <w:left w:val="none" w:sz="0" w:space="0" w:color="auto"/>
                <w:bottom w:val="none" w:sz="0" w:space="0" w:color="auto"/>
                <w:right w:val="none" w:sz="0" w:space="0" w:color="auto"/>
              </w:divBdr>
              <w:divsChild>
                <w:div w:id="95562564">
                  <w:marLeft w:val="0"/>
                  <w:marRight w:val="0"/>
                  <w:marTop w:val="0"/>
                  <w:marBottom w:val="0"/>
                  <w:divBdr>
                    <w:top w:val="none" w:sz="0" w:space="0" w:color="auto"/>
                    <w:left w:val="none" w:sz="0" w:space="0" w:color="auto"/>
                    <w:bottom w:val="none" w:sz="0" w:space="0" w:color="auto"/>
                    <w:right w:val="none" w:sz="0" w:space="0" w:color="auto"/>
                  </w:divBdr>
                  <w:divsChild>
                    <w:div w:id="1696735758">
                      <w:marLeft w:val="0"/>
                      <w:marRight w:val="0"/>
                      <w:marTop w:val="0"/>
                      <w:marBottom w:val="0"/>
                      <w:divBdr>
                        <w:top w:val="none" w:sz="0" w:space="0" w:color="auto"/>
                        <w:left w:val="none" w:sz="0" w:space="0" w:color="auto"/>
                        <w:bottom w:val="none" w:sz="0" w:space="0" w:color="auto"/>
                        <w:right w:val="none" w:sz="0" w:space="0" w:color="auto"/>
                      </w:divBdr>
                      <w:divsChild>
                        <w:div w:id="2008827905">
                          <w:marLeft w:val="0"/>
                          <w:marRight w:val="0"/>
                          <w:marTop w:val="0"/>
                          <w:marBottom w:val="0"/>
                          <w:divBdr>
                            <w:top w:val="none" w:sz="0" w:space="0" w:color="auto"/>
                            <w:left w:val="none" w:sz="0" w:space="0" w:color="auto"/>
                            <w:bottom w:val="none" w:sz="0" w:space="0" w:color="auto"/>
                            <w:right w:val="none" w:sz="0" w:space="0" w:color="auto"/>
                          </w:divBdr>
                          <w:divsChild>
                            <w:div w:id="297689084">
                              <w:marLeft w:val="0"/>
                              <w:marRight w:val="0"/>
                              <w:marTop w:val="0"/>
                              <w:marBottom w:val="0"/>
                              <w:divBdr>
                                <w:top w:val="none" w:sz="0" w:space="0" w:color="auto"/>
                                <w:left w:val="none" w:sz="0" w:space="0" w:color="auto"/>
                                <w:bottom w:val="none" w:sz="0" w:space="0" w:color="auto"/>
                                <w:right w:val="none" w:sz="0" w:space="0" w:color="auto"/>
                              </w:divBdr>
                              <w:divsChild>
                                <w:div w:id="1285581788">
                                  <w:marLeft w:val="0"/>
                                  <w:marRight w:val="0"/>
                                  <w:marTop w:val="0"/>
                                  <w:marBottom w:val="0"/>
                                  <w:divBdr>
                                    <w:top w:val="none" w:sz="0" w:space="0" w:color="auto"/>
                                    <w:left w:val="none" w:sz="0" w:space="0" w:color="auto"/>
                                    <w:bottom w:val="none" w:sz="0" w:space="0" w:color="auto"/>
                                    <w:right w:val="none" w:sz="0" w:space="0" w:color="auto"/>
                                  </w:divBdr>
                                  <w:divsChild>
                                    <w:div w:id="413629888">
                                      <w:marLeft w:val="0"/>
                                      <w:marRight w:val="0"/>
                                      <w:marTop w:val="0"/>
                                      <w:marBottom w:val="150"/>
                                      <w:divBdr>
                                        <w:top w:val="single" w:sz="2" w:space="0" w:color="D4D4D4"/>
                                        <w:left w:val="single" w:sz="6" w:space="0" w:color="D4D4D4"/>
                                        <w:bottom w:val="single" w:sz="2" w:space="0" w:color="D4D4D4"/>
                                        <w:right w:val="single" w:sz="6" w:space="0" w:color="D4D4D4"/>
                                      </w:divBdr>
                                      <w:divsChild>
                                        <w:div w:id="480511487">
                                          <w:marLeft w:val="0"/>
                                          <w:marRight w:val="0"/>
                                          <w:marTop w:val="0"/>
                                          <w:marBottom w:val="0"/>
                                          <w:divBdr>
                                            <w:top w:val="none" w:sz="0" w:space="0" w:color="auto"/>
                                            <w:left w:val="none" w:sz="0" w:space="0" w:color="auto"/>
                                            <w:bottom w:val="none" w:sz="0" w:space="0" w:color="auto"/>
                                            <w:right w:val="none" w:sz="0" w:space="0" w:color="auto"/>
                                          </w:divBdr>
                                          <w:divsChild>
                                            <w:div w:id="477497846">
                                              <w:marLeft w:val="0"/>
                                              <w:marRight w:val="0"/>
                                              <w:marTop w:val="0"/>
                                              <w:marBottom w:val="75"/>
                                              <w:divBdr>
                                                <w:top w:val="none" w:sz="0" w:space="0" w:color="auto"/>
                                                <w:left w:val="none" w:sz="0" w:space="0" w:color="auto"/>
                                                <w:bottom w:val="none" w:sz="0" w:space="0" w:color="auto"/>
                                                <w:right w:val="none" w:sz="0" w:space="0" w:color="auto"/>
                                              </w:divBdr>
                                              <w:divsChild>
                                                <w:div w:id="17445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595280">
      <w:bodyDiv w:val="1"/>
      <w:marLeft w:val="0"/>
      <w:marRight w:val="0"/>
      <w:marTop w:val="0"/>
      <w:marBottom w:val="0"/>
      <w:divBdr>
        <w:top w:val="none" w:sz="0" w:space="0" w:color="auto"/>
        <w:left w:val="none" w:sz="0" w:space="0" w:color="auto"/>
        <w:bottom w:val="none" w:sz="0" w:space="0" w:color="auto"/>
        <w:right w:val="none" w:sz="0" w:space="0" w:color="auto"/>
      </w:divBdr>
    </w:div>
    <w:div w:id="2124304973">
      <w:bodyDiv w:val="1"/>
      <w:marLeft w:val="0"/>
      <w:marRight w:val="0"/>
      <w:marTop w:val="0"/>
      <w:marBottom w:val="0"/>
      <w:divBdr>
        <w:top w:val="none" w:sz="0" w:space="0" w:color="auto"/>
        <w:left w:val="none" w:sz="0" w:space="0" w:color="auto"/>
        <w:bottom w:val="none" w:sz="0" w:space="0" w:color="auto"/>
        <w:right w:val="none" w:sz="0" w:space="0" w:color="auto"/>
      </w:divBdr>
      <w:divsChild>
        <w:div w:id="753087178">
          <w:marLeft w:val="0"/>
          <w:marRight w:val="0"/>
          <w:marTop w:val="0"/>
          <w:marBottom w:val="0"/>
          <w:divBdr>
            <w:top w:val="none" w:sz="0" w:space="0" w:color="auto"/>
            <w:left w:val="none" w:sz="0" w:space="0" w:color="auto"/>
            <w:bottom w:val="none" w:sz="0" w:space="0" w:color="auto"/>
            <w:right w:val="none" w:sz="0" w:space="0" w:color="auto"/>
          </w:divBdr>
        </w:div>
        <w:div w:id="2022314891">
          <w:marLeft w:val="0"/>
          <w:marRight w:val="0"/>
          <w:marTop w:val="0"/>
          <w:marBottom w:val="0"/>
          <w:divBdr>
            <w:top w:val="none" w:sz="0" w:space="0" w:color="auto"/>
            <w:left w:val="none" w:sz="0" w:space="0" w:color="auto"/>
            <w:bottom w:val="none" w:sz="0" w:space="0" w:color="auto"/>
            <w:right w:val="none" w:sz="0" w:space="0" w:color="auto"/>
          </w:divBdr>
        </w:div>
        <w:div w:id="1214999607">
          <w:marLeft w:val="0"/>
          <w:marRight w:val="0"/>
          <w:marTop w:val="0"/>
          <w:marBottom w:val="0"/>
          <w:divBdr>
            <w:top w:val="none" w:sz="0" w:space="0" w:color="auto"/>
            <w:left w:val="none" w:sz="0" w:space="0" w:color="auto"/>
            <w:bottom w:val="none" w:sz="0" w:space="0" w:color="auto"/>
            <w:right w:val="none" w:sz="0" w:space="0" w:color="auto"/>
          </w:divBdr>
        </w:div>
        <w:div w:id="568425019">
          <w:marLeft w:val="0"/>
          <w:marRight w:val="0"/>
          <w:marTop w:val="0"/>
          <w:marBottom w:val="0"/>
          <w:divBdr>
            <w:top w:val="none" w:sz="0" w:space="0" w:color="auto"/>
            <w:left w:val="none" w:sz="0" w:space="0" w:color="auto"/>
            <w:bottom w:val="none" w:sz="0" w:space="0" w:color="auto"/>
            <w:right w:val="none" w:sz="0" w:space="0" w:color="auto"/>
          </w:divBdr>
        </w:div>
        <w:div w:id="173134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image" Target="media/image4.emf"/><Relationship Id="rId39" Type="http://schemas.openxmlformats.org/officeDocument/2006/relationships/hyperlink" Target="http://www.insideindonesia.org/aquaculture-in-adversity" TargetMode="External"/><Relationship Id="rId3" Type="http://schemas.openxmlformats.org/officeDocument/2006/relationships/customXml" Target="../customXml/item3.xml"/><Relationship Id="rId21" Type="http://schemas.openxmlformats.org/officeDocument/2006/relationships/oleObject" Target="embeddings/Microsoft_Word_97_-_2003_Document1.doc"/><Relationship Id="rId34" Type="http://schemas.openxmlformats.org/officeDocument/2006/relationships/hyperlink" Target="http://www.oecd.org/tad/fisheries/green-growth-fisheries-aquaculture-production-trade-report.pdf" TargetMode="External"/><Relationship Id="rId42" Type="http://schemas.openxmlformats.org/officeDocument/2006/relationships/hyperlink" Target="http://www.indonesia-investments.com/news/todays-headlines/export-target-of-indonesias-fishery-sector-revised-on-weak-global-demand/item1816K.(accessed" TargetMode="External"/><Relationship Id="rId47" Type="http://schemas.openxmlformats.org/officeDocument/2006/relationships/hyperlink" Target="http://dx.doi.org/10.1787/9789264119680-en" TargetMode="External"/><Relationship Id="rId50" Type="http://schemas.openxmlformats.org/officeDocument/2006/relationships/hyperlink" Target="http://www.who.int/nutgrowthdb/estimates2014/en/"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image" Target="media/image3.emf"/><Relationship Id="rId33" Type="http://schemas.openxmlformats.org/officeDocument/2006/relationships/hyperlink" Target="https://comtrade.un.org/" TargetMode="External"/><Relationship Id="rId38" Type="http://schemas.openxmlformats.org/officeDocument/2006/relationships/hyperlink" Target="http://faostat3.fao.org/home/E" TargetMode="External"/><Relationship Id="rId46" Type="http://schemas.openxmlformats.org/officeDocument/2006/relationships/hyperlink" Target="http://dx.doi.org/10.1787/9789264195363"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image" Target="media/image6.emf"/><Relationship Id="rId41" Type="http://schemas.openxmlformats.org/officeDocument/2006/relationships/hyperlink" Target="http://www.indonesia-investments.com/finance/macroeconomic-indicators/poverty/item30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image" Target="media/image2.emf"/><Relationship Id="rId32" Type="http://schemas.openxmlformats.org/officeDocument/2006/relationships/image" Target="media/image7.png"/><Relationship Id="rId37" Type="http://schemas.openxmlformats.org/officeDocument/2006/relationships/hyperlink" Target="http://faostat.fao.org/default.aspx" TargetMode="External"/><Relationship Id="rId40" Type="http://schemas.openxmlformats.org/officeDocument/2006/relationships/hyperlink" Target="http://www.indonesia-investments.com/business/risks/infrastructure/item381" TargetMode="External"/><Relationship Id="rId45" Type="http://schemas.openxmlformats.org/officeDocument/2006/relationships/hyperlink" Target="http://dx.doi.org/10.1787/9789264232143-en"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chart" Target="charts/chart2.xml"/><Relationship Id="rId28" Type="http://schemas.openxmlformats.org/officeDocument/2006/relationships/image" Target="media/image5.emf"/><Relationship Id="rId36" Type="http://schemas.openxmlformats.org/officeDocument/2006/relationships/hyperlink" Target="http://dx.doi.org/10.1787/5js65xn790nv-en" TargetMode="External"/><Relationship Id="rId49" Type="http://schemas.openxmlformats.org/officeDocument/2006/relationships/hyperlink" Target="https://comtrade.un.org/"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yperlink" Target="https://stats.oecd.org/Index.aspx?DataSetCode=FISH_FSE" TargetMode="External"/><Relationship Id="rId44" Type="http://schemas.openxmlformats.org/officeDocument/2006/relationships/hyperlink" Target="http://dx.doi.org/10.1787/rev_fish_stat_en-2015-e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3.xml"/><Relationship Id="rId30" Type="http://schemas.openxmlformats.org/officeDocument/2006/relationships/chart" Target="charts/chart4.xml"/><Relationship Id="rId35" Type="http://schemas.openxmlformats.org/officeDocument/2006/relationships/hyperlink" Target="https://www.bps.go.id/" TargetMode="External"/><Relationship Id="rId43" Type="http://schemas.openxmlformats.org/officeDocument/2006/relationships/hyperlink" Target="https://stats.oecd.org/Index.aspx?DataSetCode=FISH_FSE" TargetMode="External"/><Relationship Id="rId48" Type="http://schemas.openxmlformats.org/officeDocument/2006/relationships/hyperlink" Target="http://dx.doi.org/10.1787/agr_outlook-2016-en" TargetMode="External"/><Relationship Id="rId8" Type="http://schemas.openxmlformats.org/officeDocument/2006/relationships/customXml" Target="../customXml/item8.xml"/><Relationship Id="rId51" Type="http://schemas.openxmlformats.org/officeDocument/2006/relationships/hyperlink" Target="http://sdwebx.worldbank.org/climateportalb/home.cfm?page=country_profile&amp;CCode=ID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oecd.org/oecdinfo/info.aspx?app=OLIScoteEN&amp;Ref=TAD/CA/APM/WP(201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ain.oecd.org\winapps\Office2010\Workgroup%20Templates\AE2007.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main.oecd.org\sdataTAD\Data\Pilgrim\Obesity%20Undernourishment%20and%20Waste\IDN_Projections3.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http://portal.oecd.org/eshare/tad/pc/Deliverables/AGRSEA/Fisheries%20review%20Indonesia/Indonesia_Fisheries.Graph.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koukoulou:Downloads:Fish_Indonesia_Unlinked.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portal.oecd.org/eshare/tad/pc/Deliverables/AGRSEA/Fisheries%20review%20Indonesia/Indonesia_Fisheries.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8.7445796086387494E-3"/>
          <c:y val="0.16815040146674884"/>
          <c:w val="0.98906927548920154"/>
          <c:h val="0.82686939777233903"/>
        </c:manualLayout>
      </c:layout>
      <c:barChart>
        <c:barDir val="col"/>
        <c:grouping val="stacked"/>
        <c:varyColors val="0"/>
        <c:ser>
          <c:idx val="3"/>
          <c:order val="3"/>
          <c:tx>
            <c:v>Projected1</c:v>
          </c:tx>
          <c:spPr>
            <a:solidFill>
              <a:srgbClr val="C8D7EA"/>
            </a:solidFill>
            <a:ln>
              <a:solidFill>
                <a:srgbClr val="FFFFFF"/>
              </a:solidFill>
            </a:ln>
          </c:spPr>
          <c:invertIfNegative val="0"/>
          <c:cat>
            <c:numLit>
              <c:formatCode>General</c:formatCode>
              <c:ptCount val="3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c:v>
              </c:pt>
              <c:pt idx="33">
                <c:v>2024</c:v>
              </c:pt>
              <c:pt idx="34">
                <c:v>2025</c:v>
              </c:pt>
            </c:numLit>
          </c:cat>
          <c:val>
            <c:numLit>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pt idx="26">
                <c:v>1</c:v>
              </c:pt>
              <c:pt idx="27">
                <c:v>1</c:v>
              </c:pt>
              <c:pt idx="28">
                <c:v>1</c:v>
              </c:pt>
              <c:pt idx="29">
                <c:v>1</c:v>
              </c:pt>
              <c:pt idx="30">
                <c:v>1</c:v>
              </c:pt>
              <c:pt idx="31">
                <c:v>1</c:v>
              </c:pt>
              <c:pt idx="32">
                <c:v>1</c:v>
              </c:pt>
              <c:pt idx="33">
                <c:v>1</c:v>
              </c:pt>
              <c:pt idx="34">
                <c:v>1</c:v>
              </c:pt>
            </c:numLit>
          </c:val>
        </c:ser>
        <c:ser>
          <c:idx val="4"/>
          <c:order val="4"/>
          <c:tx>
            <c:v>Projected2</c:v>
          </c:tx>
          <c:spPr>
            <a:solidFill>
              <a:srgbClr val="C8D7EA"/>
            </a:solidFill>
            <a:ln>
              <a:solidFill>
                <a:srgbClr val="FFFFFF"/>
              </a:solidFill>
            </a:ln>
          </c:spPr>
          <c:invertIfNegative val="0"/>
          <c:cat>
            <c:numLit>
              <c:formatCode>General</c:formatCode>
              <c:ptCount val="3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c:v>
              </c:pt>
              <c:pt idx="33">
                <c:v>2024</c:v>
              </c:pt>
              <c:pt idx="34">
                <c:v>2025</c:v>
              </c:pt>
            </c:numLit>
          </c:cat>
          <c:val>
            <c:numLit>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pt idx="26">
                <c:v>1</c:v>
              </c:pt>
              <c:pt idx="27">
                <c:v>1</c:v>
              </c:pt>
              <c:pt idx="28">
                <c:v>1</c:v>
              </c:pt>
              <c:pt idx="29">
                <c:v>1</c:v>
              </c:pt>
              <c:pt idx="30">
                <c:v>1</c:v>
              </c:pt>
              <c:pt idx="31">
                <c:v>1</c:v>
              </c:pt>
              <c:pt idx="32">
                <c:v>1</c:v>
              </c:pt>
              <c:pt idx="33">
                <c:v>1</c:v>
              </c:pt>
              <c:pt idx="34">
                <c:v>1</c:v>
              </c:pt>
            </c:numLit>
          </c:val>
        </c:ser>
        <c:ser>
          <c:idx val="5"/>
          <c:order val="5"/>
          <c:tx>
            <c:v>Projected3</c:v>
          </c:tx>
          <c:spPr>
            <a:solidFill>
              <a:srgbClr val="C8D7EA"/>
            </a:solidFill>
            <a:ln>
              <a:solidFill>
                <a:srgbClr val="FFFFFF"/>
              </a:solidFill>
            </a:ln>
          </c:spPr>
          <c:invertIfNegative val="0"/>
          <c:cat>
            <c:numLit>
              <c:formatCode>General</c:formatCode>
              <c:ptCount val="3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c:v>
              </c:pt>
              <c:pt idx="33">
                <c:v>2024</c:v>
              </c:pt>
              <c:pt idx="34">
                <c:v>2025</c:v>
              </c:pt>
            </c:numLit>
          </c:cat>
          <c:val>
            <c:numLit>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pt idx="26">
                <c:v>1</c:v>
              </c:pt>
              <c:pt idx="27">
                <c:v>1</c:v>
              </c:pt>
              <c:pt idx="28">
                <c:v>1</c:v>
              </c:pt>
              <c:pt idx="29">
                <c:v>1</c:v>
              </c:pt>
              <c:pt idx="30">
                <c:v>1</c:v>
              </c:pt>
              <c:pt idx="31">
                <c:v>1</c:v>
              </c:pt>
              <c:pt idx="32">
                <c:v>1</c:v>
              </c:pt>
              <c:pt idx="33">
                <c:v>1</c:v>
              </c:pt>
              <c:pt idx="34">
                <c:v>1</c:v>
              </c:pt>
            </c:numLit>
          </c:val>
        </c:ser>
        <c:ser>
          <c:idx val="6"/>
          <c:order val="6"/>
          <c:tx>
            <c:v>Projected4</c:v>
          </c:tx>
          <c:spPr>
            <a:solidFill>
              <a:srgbClr val="C8D7EA"/>
            </a:solidFill>
            <a:ln>
              <a:solidFill>
                <a:srgbClr val="FFFFFF"/>
              </a:solidFill>
            </a:ln>
          </c:spPr>
          <c:invertIfNegative val="0"/>
          <c:cat>
            <c:numLit>
              <c:formatCode>General</c:formatCode>
              <c:ptCount val="3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c:v>
              </c:pt>
              <c:pt idx="33">
                <c:v>2024</c:v>
              </c:pt>
              <c:pt idx="34">
                <c:v>2025</c:v>
              </c:pt>
            </c:numLit>
          </c:cat>
          <c:val>
            <c:numLit>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pt idx="26">
                <c:v>1</c:v>
              </c:pt>
              <c:pt idx="27">
                <c:v>1</c:v>
              </c:pt>
              <c:pt idx="28">
                <c:v>1</c:v>
              </c:pt>
              <c:pt idx="29">
                <c:v>1</c:v>
              </c:pt>
              <c:pt idx="30">
                <c:v>1</c:v>
              </c:pt>
              <c:pt idx="31">
                <c:v>1</c:v>
              </c:pt>
              <c:pt idx="32">
                <c:v>1</c:v>
              </c:pt>
              <c:pt idx="33">
                <c:v>1</c:v>
              </c:pt>
              <c:pt idx="34">
                <c:v>1</c:v>
              </c:pt>
            </c:numLit>
          </c:val>
        </c:ser>
        <c:ser>
          <c:idx val="7"/>
          <c:order val="7"/>
          <c:tx>
            <c:v>Projected5</c:v>
          </c:tx>
          <c:spPr>
            <a:solidFill>
              <a:srgbClr val="C8D7EA"/>
            </a:solidFill>
            <a:ln>
              <a:solidFill>
                <a:srgbClr val="FFFFFF"/>
              </a:solidFill>
            </a:ln>
          </c:spPr>
          <c:invertIfNegative val="0"/>
          <c:cat>
            <c:numLit>
              <c:formatCode>General</c:formatCode>
              <c:ptCount val="3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c:v>
              </c:pt>
              <c:pt idx="33">
                <c:v>2024</c:v>
              </c:pt>
              <c:pt idx="34">
                <c:v>2025</c:v>
              </c:pt>
            </c:numLit>
          </c:cat>
          <c:val>
            <c:numLit>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pt idx="26">
                <c:v>1</c:v>
              </c:pt>
              <c:pt idx="27">
                <c:v>1</c:v>
              </c:pt>
              <c:pt idx="28">
                <c:v>1</c:v>
              </c:pt>
              <c:pt idx="29">
                <c:v>1</c:v>
              </c:pt>
              <c:pt idx="30">
                <c:v>1</c:v>
              </c:pt>
              <c:pt idx="31">
                <c:v>1</c:v>
              </c:pt>
              <c:pt idx="32">
                <c:v>1</c:v>
              </c:pt>
              <c:pt idx="33">
                <c:v>1</c:v>
              </c:pt>
              <c:pt idx="34">
                <c:v>1</c:v>
              </c:pt>
            </c:numLit>
          </c:val>
        </c:ser>
        <c:ser>
          <c:idx val="8"/>
          <c:order val="8"/>
          <c:tx>
            <c:v>Projected6</c:v>
          </c:tx>
          <c:spPr>
            <a:solidFill>
              <a:srgbClr val="C8D7EA"/>
            </a:solidFill>
            <a:ln>
              <a:solidFill>
                <a:srgbClr val="FFFFFF"/>
              </a:solidFill>
            </a:ln>
          </c:spPr>
          <c:invertIfNegative val="0"/>
          <c:cat>
            <c:numLit>
              <c:formatCode>General</c:formatCode>
              <c:ptCount val="3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c:v>
              </c:pt>
              <c:pt idx="33">
                <c:v>2024</c:v>
              </c:pt>
              <c:pt idx="34">
                <c:v>2025</c:v>
              </c:pt>
            </c:numLit>
          </c:cat>
          <c:val>
            <c:numLit>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pt idx="26">
                <c:v>1</c:v>
              </c:pt>
              <c:pt idx="27">
                <c:v>1</c:v>
              </c:pt>
              <c:pt idx="28">
                <c:v>1</c:v>
              </c:pt>
              <c:pt idx="29">
                <c:v>1</c:v>
              </c:pt>
              <c:pt idx="30">
                <c:v>1</c:v>
              </c:pt>
              <c:pt idx="31">
                <c:v>1</c:v>
              </c:pt>
              <c:pt idx="32">
                <c:v>1</c:v>
              </c:pt>
              <c:pt idx="33">
                <c:v>1</c:v>
              </c:pt>
              <c:pt idx="34">
                <c:v>1</c:v>
              </c:pt>
            </c:numLit>
          </c:val>
        </c:ser>
        <c:ser>
          <c:idx val="9"/>
          <c:order val="9"/>
          <c:tx>
            <c:v>Projected7</c:v>
          </c:tx>
          <c:spPr>
            <a:solidFill>
              <a:srgbClr val="C8D7EA"/>
            </a:solidFill>
            <a:ln>
              <a:solidFill>
                <a:srgbClr val="FFFFFF"/>
              </a:solidFill>
            </a:ln>
          </c:spPr>
          <c:invertIfNegative val="0"/>
          <c:cat>
            <c:numLit>
              <c:formatCode>General</c:formatCode>
              <c:ptCount val="3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c:v>
              </c:pt>
              <c:pt idx="33">
                <c:v>2024</c:v>
              </c:pt>
              <c:pt idx="34">
                <c:v>2025</c:v>
              </c:pt>
            </c:numLit>
          </c:cat>
          <c:val>
            <c:numLit>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pt idx="26">
                <c:v>1</c:v>
              </c:pt>
              <c:pt idx="27">
                <c:v>1</c:v>
              </c:pt>
              <c:pt idx="28">
                <c:v>1</c:v>
              </c:pt>
              <c:pt idx="29">
                <c:v>1</c:v>
              </c:pt>
              <c:pt idx="30">
                <c:v>1</c:v>
              </c:pt>
              <c:pt idx="31">
                <c:v>1</c:v>
              </c:pt>
              <c:pt idx="32">
                <c:v>1</c:v>
              </c:pt>
              <c:pt idx="33">
                <c:v>1</c:v>
              </c:pt>
              <c:pt idx="34">
                <c:v>1</c:v>
              </c:pt>
            </c:numLit>
          </c:val>
        </c:ser>
        <c:ser>
          <c:idx val="10"/>
          <c:order val="10"/>
          <c:tx>
            <c:v>Projected8</c:v>
          </c:tx>
          <c:spPr>
            <a:solidFill>
              <a:srgbClr val="C8D7EA"/>
            </a:solidFill>
            <a:ln>
              <a:solidFill>
                <a:srgbClr val="FFFFFF"/>
              </a:solidFill>
            </a:ln>
          </c:spPr>
          <c:invertIfNegative val="0"/>
          <c:cat>
            <c:numLit>
              <c:formatCode>General</c:formatCode>
              <c:ptCount val="3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pt idx="32">
                <c:v>2023</c:v>
              </c:pt>
              <c:pt idx="33">
                <c:v>2024</c:v>
              </c:pt>
              <c:pt idx="34">
                <c:v>2025</c:v>
              </c:pt>
            </c:numLit>
          </c:cat>
          <c:val>
            <c:numLit>
              <c:formatCode>General</c:formatCode>
              <c:ptCount val="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0.95</c:v>
              </c:pt>
              <c:pt idx="26">
                <c:v>0.95</c:v>
              </c:pt>
              <c:pt idx="27">
                <c:v>0.95</c:v>
              </c:pt>
              <c:pt idx="28">
                <c:v>0.95</c:v>
              </c:pt>
              <c:pt idx="29">
                <c:v>0.95</c:v>
              </c:pt>
              <c:pt idx="30">
                <c:v>0.95</c:v>
              </c:pt>
              <c:pt idx="31">
                <c:v>0.95</c:v>
              </c:pt>
              <c:pt idx="32">
                <c:v>0.95</c:v>
              </c:pt>
              <c:pt idx="33">
                <c:v>0.95</c:v>
              </c:pt>
              <c:pt idx="34">
                <c:v>0.95</c:v>
              </c:pt>
            </c:numLit>
          </c:val>
        </c:ser>
        <c:dLbls>
          <c:showLegendKey val="0"/>
          <c:showVal val="0"/>
          <c:showCatName val="0"/>
          <c:showSerName val="0"/>
          <c:showPercent val="0"/>
          <c:showBubbleSize val="0"/>
        </c:dLbls>
        <c:gapWidth val="0"/>
        <c:overlap val="100"/>
        <c:axId val="509692928"/>
        <c:axId val="509691392"/>
      </c:barChart>
      <c:lineChart>
        <c:grouping val="standard"/>
        <c:varyColors val="0"/>
        <c:ser>
          <c:idx val="0"/>
          <c:order val="0"/>
          <c:tx>
            <c:strRef>
              <c:f>Sheet1!$B$3</c:f>
              <c:strCache>
                <c:ptCount val="1"/>
                <c:pt idx="0">
                  <c:v>Overweight</c:v>
                </c:pt>
              </c:strCache>
            </c:strRef>
          </c:tx>
          <c:spPr>
            <a:ln w="19050" cap="rnd" cmpd="sng" algn="ctr">
              <a:solidFill>
                <a:srgbClr val="4F81BD"/>
              </a:solidFill>
              <a:prstDash val="solid"/>
              <a:round/>
            </a:ln>
            <a:effectLst/>
          </c:spPr>
          <c:marker>
            <c:symbol val="none"/>
          </c:marker>
          <c:cat>
            <c:numRef>
              <c:f>Sheet1!$C$2:$AK$2</c:f>
              <c:numCache>
                <c:formatCode>General</c:formatCode>
                <c:ptCount val="35"/>
                <c:pt idx="0">
                  <c:v>1991</c:v>
                </c:pt>
                <c:pt idx="4">
                  <c:v>1995</c:v>
                </c:pt>
                <c:pt idx="9">
                  <c:v>2000</c:v>
                </c:pt>
                <c:pt idx="14">
                  <c:v>2005</c:v>
                </c:pt>
                <c:pt idx="19">
                  <c:v>2010</c:v>
                </c:pt>
                <c:pt idx="24">
                  <c:v>2015</c:v>
                </c:pt>
                <c:pt idx="29">
                  <c:v>2020</c:v>
                </c:pt>
                <c:pt idx="34">
                  <c:v>2025</c:v>
                </c:pt>
              </c:numCache>
            </c:numRef>
          </c:cat>
          <c:val>
            <c:numRef>
              <c:f>Sheet1!$C$3:$AK$3</c:f>
              <c:numCache>
                <c:formatCode>General</c:formatCode>
                <c:ptCount val="35"/>
                <c:pt idx="0">
                  <c:v>11.0432137718217</c:v>
                </c:pt>
                <c:pt idx="1">
                  <c:v>11.956305096620399</c:v>
                </c:pt>
                <c:pt idx="2">
                  <c:v>13.1624414887784</c:v>
                </c:pt>
                <c:pt idx="3">
                  <c:v>14.6212875035924</c:v>
                </c:pt>
                <c:pt idx="4">
                  <c:v>15.925909695351201</c:v>
                </c:pt>
                <c:pt idx="5">
                  <c:v>16.225984295344702</c:v>
                </c:pt>
                <c:pt idx="6">
                  <c:v>15.483377113147101</c:v>
                </c:pt>
                <c:pt idx="7">
                  <c:v>14.596253437091001</c:v>
                </c:pt>
                <c:pt idx="8">
                  <c:v>13.8903030876666</c:v>
                </c:pt>
                <c:pt idx="9">
                  <c:v>12.542784758867501</c:v>
                </c:pt>
                <c:pt idx="10">
                  <c:v>13.027043594051799</c:v>
                </c:pt>
                <c:pt idx="11">
                  <c:v>13.356740597067601</c:v>
                </c:pt>
                <c:pt idx="12">
                  <c:v>13.8223564428679</c:v>
                </c:pt>
                <c:pt idx="13">
                  <c:v>14.610279099238099</c:v>
                </c:pt>
                <c:pt idx="14">
                  <c:v>14.765826810686999</c:v>
                </c:pt>
                <c:pt idx="15">
                  <c:v>15.2945485082014</c:v>
                </c:pt>
                <c:pt idx="16">
                  <c:v>16.779681016468501</c:v>
                </c:pt>
                <c:pt idx="17">
                  <c:v>18.070430204252201</c:v>
                </c:pt>
                <c:pt idx="18">
                  <c:v>19.583895226788901</c:v>
                </c:pt>
                <c:pt idx="19">
                  <c:v>20.688986423512102</c:v>
                </c:pt>
                <c:pt idx="20">
                  <c:v>22.376423112756399</c:v>
                </c:pt>
                <c:pt idx="21">
                  <c:v>24.127769206201798</c:v>
                </c:pt>
                <c:pt idx="22">
                  <c:v>24.411321855830799</c:v>
                </c:pt>
                <c:pt idx="23">
                  <c:v>24.499981829967599</c:v>
                </c:pt>
                <c:pt idx="24">
                  <c:v>24.722106300576399</c:v>
                </c:pt>
                <c:pt idx="25">
                  <c:v>26.195694272388398</c:v>
                </c:pt>
                <c:pt idx="26">
                  <c:v>27.277690637976399</c:v>
                </c:pt>
                <c:pt idx="27">
                  <c:v>28.4074968128816</c:v>
                </c:pt>
                <c:pt idx="28">
                  <c:v>29.591562213841399</c:v>
                </c:pt>
                <c:pt idx="29">
                  <c:v>30.779149592918596</c:v>
                </c:pt>
                <c:pt idx="30">
                  <c:v>31.919160116131902</c:v>
                </c:pt>
                <c:pt idx="31">
                  <c:v>33.143974005157304</c:v>
                </c:pt>
                <c:pt idx="32">
                  <c:v>34.378416738218498</c:v>
                </c:pt>
                <c:pt idx="33">
                  <c:v>35.592525496390095</c:v>
                </c:pt>
                <c:pt idx="34">
                  <c:v>36.883485574049601</c:v>
                </c:pt>
              </c:numCache>
            </c:numRef>
          </c:val>
          <c:smooth val="0"/>
        </c:ser>
        <c:ser>
          <c:idx val="1"/>
          <c:order val="1"/>
          <c:tx>
            <c:strRef>
              <c:f>Sheet1!$B$4</c:f>
              <c:strCache>
                <c:ptCount val="1"/>
                <c:pt idx="0">
                  <c:v>Obese</c:v>
                </c:pt>
              </c:strCache>
            </c:strRef>
          </c:tx>
          <c:spPr>
            <a:ln w="19050" cap="rnd" cmpd="sng" algn="ctr">
              <a:solidFill>
                <a:srgbClr val="4F81BD"/>
              </a:solidFill>
              <a:prstDash val="dash"/>
              <a:round/>
            </a:ln>
            <a:effectLst/>
          </c:spPr>
          <c:marker>
            <c:symbol val="none"/>
          </c:marker>
          <c:cat>
            <c:numRef>
              <c:f>Sheet1!$C$2:$AK$2</c:f>
              <c:numCache>
                <c:formatCode>General</c:formatCode>
                <c:ptCount val="35"/>
                <c:pt idx="0">
                  <c:v>1991</c:v>
                </c:pt>
                <c:pt idx="4">
                  <c:v>1995</c:v>
                </c:pt>
                <c:pt idx="9">
                  <c:v>2000</c:v>
                </c:pt>
                <c:pt idx="14">
                  <c:v>2005</c:v>
                </c:pt>
                <c:pt idx="19">
                  <c:v>2010</c:v>
                </c:pt>
                <c:pt idx="24">
                  <c:v>2015</c:v>
                </c:pt>
                <c:pt idx="29">
                  <c:v>2020</c:v>
                </c:pt>
                <c:pt idx="34">
                  <c:v>2025</c:v>
                </c:pt>
              </c:numCache>
            </c:numRef>
          </c:cat>
          <c:val>
            <c:numRef>
              <c:f>Sheet1!$C$4:$AK$4</c:f>
              <c:numCache>
                <c:formatCode>General</c:formatCode>
                <c:ptCount val="35"/>
                <c:pt idx="0">
                  <c:v>1.98762439573353</c:v>
                </c:pt>
                <c:pt idx="1">
                  <c:v>2.2261091760268701</c:v>
                </c:pt>
                <c:pt idx="2">
                  <c:v>2.5553937868756997</c:v>
                </c:pt>
                <c:pt idx="3">
                  <c:v>2.9749786881662299</c:v>
                </c:pt>
                <c:pt idx="4">
                  <c:v>3.3696692130058699</c:v>
                </c:pt>
                <c:pt idx="5">
                  <c:v>3.4630275249907596</c:v>
                </c:pt>
                <c:pt idx="6">
                  <c:v>3.2337440129281401</c:v>
                </c:pt>
                <c:pt idx="7">
                  <c:v>2.96758392439602</c:v>
                </c:pt>
                <c:pt idx="8">
                  <c:v>2.7618450011931799</c:v>
                </c:pt>
                <c:pt idx="9">
                  <c:v>2.2399362091165198</c:v>
                </c:pt>
                <c:pt idx="10">
                  <c:v>2.5176288533987501</c:v>
                </c:pt>
                <c:pt idx="11">
                  <c:v>2.6258306375018701</c:v>
                </c:pt>
                <c:pt idx="12">
                  <c:v>2.7617670573036501</c:v>
                </c:pt>
                <c:pt idx="13">
                  <c:v>3.1763195242526097</c:v>
                </c:pt>
                <c:pt idx="14">
                  <c:v>3.2322268326548902</c:v>
                </c:pt>
                <c:pt idx="15">
                  <c:v>3.3995927927785803</c:v>
                </c:pt>
                <c:pt idx="16">
                  <c:v>4.09431369372557</c:v>
                </c:pt>
                <c:pt idx="17">
                  <c:v>4.5684189346610102</c:v>
                </c:pt>
                <c:pt idx="18">
                  <c:v>5.1327377581902605</c:v>
                </c:pt>
                <c:pt idx="19">
                  <c:v>4.9848358211750394</c:v>
                </c:pt>
                <c:pt idx="20">
                  <c:v>5.2852002406026699</c:v>
                </c:pt>
                <c:pt idx="21">
                  <c:v>5.9325077262134904</c:v>
                </c:pt>
                <c:pt idx="22">
                  <c:v>5.6677296238985901</c:v>
                </c:pt>
                <c:pt idx="23">
                  <c:v>5.6999588245183102</c:v>
                </c:pt>
                <c:pt idx="24">
                  <c:v>5.7810601644114303</c:v>
                </c:pt>
                <c:pt idx="25">
                  <c:v>6.3320237570406404</c:v>
                </c:pt>
                <c:pt idx="26">
                  <c:v>6.7069232140107005</c:v>
                </c:pt>
                <c:pt idx="27">
                  <c:v>7.1052565532300198</c:v>
                </c:pt>
                <c:pt idx="28">
                  <c:v>7.5317403709598301</c:v>
                </c:pt>
                <c:pt idx="29">
                  <c:v>7.9686871630884299</c:v>
                </c:pt>
                <c:pt idx="30">
                  <c:v>8.3941796572200396</c:v>
                </c:pt>
                <c:pt idx="31">
                  <c:v>8.8652941714910387</c:v>
                </c:pt>
                <c:pt idx="32">
                  <c:v>9.3507869198808002</c:v>
                </c:pt>
                <c:pt idx="33">
                  <c:v>9.8371511459588312</c:v>
                </c:pt>
                <c:pt idx="34">
                  <c:v>10.370197279000399</c:v>
                </c:pt>
              </c:numCache>
            </c:numRef>
          </c:val>
          <c:smooth val="0"/>
        </c:ser>
        <c:ser>
          <c:idx val="2"/>
          <c:order val="2"/>
          <c:tx>
            <c:strRef>
              <c:f>Sheet1!$B$5</c:f>
              <c:strCache>
                <c:ptCount val="1"/>
                <c:pt idx="0">
                  <c:v>Undernourished</c:v>
                </c:pt>
              </c:strCache>
            </c:strRef>
          </c:tx>
          <c:spPr>
            <a:ln w="19050" cap="rnd" cmpd="sng" algn="ctr">
              <a:solidFill>
                <a:srgbClr val="4F81BD"/>
              </a:solidFill>
              <a:prstDash val="lgDashDot"/>
              <a:round/>
            </a:ln>
            <a:effectLst/>
          </c:spPr>
          <c:marker>
            <c:symbol val="none"/>
          </c:marker>
          <c:cat>
            <c:numRef>
              <c:f>Sheet1!$C$2:$AK$2</c:f>
              <c:numCache>
                <c:formatCode>General</c:formatCode>
                <c:ptCount val="35"/>
                <c:pt idx="0">
                  <c:v>1991</c:v>
                </c:pt>
                <c:pt idx="4">
                  <c:v>1995</c:v>
                </c:pt>
                <c:pt idx="9">
                  <c:v>2000</c:v>
                </c:pt>
                <c:pt idx="14">
                  <c:v>2005</c:v>
                </c:pt>
                <c:pt idx="19">
                  <c:v>2010</c:v>
                </c:pt>
                <c:pt idx="24">
                  <c:v>2015</c:v>
                </c:pt>
                <c:pt idx="29">
                  <c:v>2020</c:v>
                </c:pt>
                <c:pt idx="34">
                  <c:v>2025</c:v>
                </c:pt>
              </c:numCache>
            </c:numRef>
          </c:cat>
          <c:val>
            <c:numRef>
              <c:f>Sheet1!$C$5:$AK$5</c:f>
              <c:numCache>
                <c:formatCode>General</c:formatCode>
                <c:ptCount val="35"/>
                <c:pt idx="0">
                  <c:v>19.582692040795799</c:v>
                </c:pt>
                <c:pt idx="1">
                  <c:v>18.537384484871399</c:v>
                </c:pt>
                <c:pt idx="2">
                  <c:v>17.1848395831794</c:v>
                </c:pt>
                <c:pt idx="3">
                  <c:v>15.7666059878729</c:v>
                </c:pt>
                <c:pt idx="4">
                  <c:v>14.6207665914482</c:v>
                </c:pt>
                <c:pt idx="5">
                  <c:v>14.528858034431799</c:v>
                </c:pt>
                <c:pt idx="6">
                  <c:v>15.429213773489201</c:v>
                </c:pt>
                <c:pt idx="7">
                  <c:v>16.544334382956897</c:v>
                </c:pt>
                <c:pt idx="8">
                  <c:v>17.4867927193078</c:v>
                </c:pt>
                <c:pt idx="9">
                  <c:v>17.360949980631197</c:v>
                </c:pt>
                <c:pt idx="10">
                  <c:v>18.7975558251004</c:v>
                </c:pt>
                <c:pt idx="11">
                  <c:v>18.401426806747601</c:v>
                </c:pt>
                <c:pt idx="12">
                  <c:v>17.830455841792698</c:v>
                </c:pt>
                <c:pt idx="13">
                  <c:v>18.689420173105901</c:v>
                </c:pt>
                <c:pt idx="14">
                  <c:v>18.487879919285998</c:v>
                </c:pt>
                <c:pt idx="15">
                  <c:v>17.889741423513598</c:v>
                </c:pt>
                <c:pt idx="16">
                  <c:v>17.909069329371899</c:v>
                </c:pt>
                <c:pt idx="17">
                  <c:v>16.5902604908405</c:v>
                </c:pt>
                <c:pt idx="18">
                  <c:v>15.1857845031273</c:v>
                </c:pt>
                <c:pt idx="19">
                  <c:v>11.618115768538701</c:v>
                </c:pt>
                <c:pt idx="20">
                  <c:v>9.3369824525008394</c:v>
                </c:pt>
                <c:pt idx="21">
                  <c:v>8.5139295504433008</c:v>
                </c:pt>
                <c:pt idx="22">
                  <c:v>7.3709484038967599</c:v>
                </c:pt>
                <c:pt idx="23">
                  <c:v>7.4228598133241706</c:v>
                </c:pt>
                <c:pt idx="24">
                  <c:v>7.4459197500301899</c:v>
                </c:pt>
                <c:pt idx="25">
                  <c:v>6.8204292899231396</c:v>
                </c:pt>
                <c:pt idx="26">
                  <c:v>6.2975069869542599</c:v>
                </c:pt>
                <c:pt idx="27">
                  <c:v>5.7893562278213198</c:v>
                </c:pt>
                <c:pt idx="28">
                  <c:v>5.2983071704341596</c:v>
                </c:pt>
                <c:pt idx="29">
                  <c:v>4.84472736126098</c:v>
                </c:pt>
                <c:pt idx="30">
                  <c:v>4.4391720772973198</c:v>
                </c:pt>
                <c:pt idx="31">
                  <c:v>4.0438754013580001</c:v>
                </c:pt>
                <c:pt idx="32">
                  <c:v>3.6782780598362796</c:v>
                </c:pt>
                <c:pt idx="33">
                  <c:v>3.3464096362151396</c:v>
                </c:pt>
                <c:pt idx="34">
                  <c:v>3.0271820695117801</c:v>
                </c:pt>
              </c:numCache>
            </c:numRef>
          </c:val>
          <c:smooth val="0"/>
        </c:ser>
        <c:dLbls>
          <c:showLegendKey val="0"/>
          <c:showVal val="0"/>
          <c:showCatName val="0"/>
          <c:showSerName val="0"/>
          <c:showPercent val="0"/>
          <c:showBubbleSize val="0"/>
        </c:dLbls>
        <c:marker val="1"/>
        <c:smooth val="0"/>
        <c:axId val="509683584"/>
        <c:axId val="509685120"/>
      </c:lineChart>
      <c:catAx>
        <c:axId val="509683584"/>
        <c:scaling>
          <c:orientation val="minMax"/>
        </c:scaling>
        <c:delete val="0"/>
        <c:axPos val="b"/>
        <c:majorGridlines>
          <c:spPr>
            <a:ln w="9525" cmpd="sng">
              <a:solidFill>
                <a:srgbClr val="FFFFFF"/>
              </a:solidFill>
              <a:prstDash val="solid"/>
            </a:ln>
          </c:spPr>
        </c:majorGridlines>
        <c:numFmt formatCode="General" sourceLinked="1"/>
        <c:majorTickMark val="in"/>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a:solidFill>
                  <a:srgbClr val="000000"/>
                </a:solidFill>
                <a:latin typeface="Arial Narrow"/>
                <a:ea typeface="Arial Narrow"/>
                <a:cs typeface="Arial Narrow"/>
              </a:defRPr>
            </a:pPr>
            <a:endParaRPr lang="en-US"/>
          </a:p>
        </c:txPr>
        <c:crossAx val="509685120"/>
        <c:crosses val="autoZero"/>
        <c:auto val="1"/>
        <c:lblAlgn val="ctr"/>
        <c:lblOffset val="0"/>
        <c:tickLblSkip val="1"/>
        <c:noMultiLvlLbl val="0"/>
      </c:catAx>
      <c:valAx>
        <c:axId val="509685120"/>
        <c:scaling>
          <c:orientation val="minMax"/>
          <c:max val="40"/>
          <c:min val="0"/>
        </c:scaling>
        <c:delete val="0"/>
        <c:axPos val="l"/>
        <c:majorGridlines>
          <c:spPr>
            <a:ln w="9525" cmpd="sng">
              <a:solidFill>
                <a:srgbClr val="FFFFFF"/>
              </a:solidFill>
              <a:prstDash val="solid"/>
            </a:ln>
          </c:spPr>
        </c:majorGridlines>
        <c:title>
          <c:tx>
            <c:rich>
              <a:bodyPr rot="0" vert="horz"/>
              <a:lstStyle/>
              <a:p>
                <a:pPr>
                  <a:defRPr sz="750" b="0" i="0">
                    <a:solidFill>
                      <a:srgbClr val="000000"/>
                    </a:solidFill>
                    <a:latin typeface="Arial Narrow"/>
                  </a:defRPr>
                </a:pPr>
                <a:r>
                  <a:rPr lang="en-GB" sz="750" b="0" i="0">
                    <a:solidFill>
                      <a:srgbClr val="000000"/>
                    </a:solidFill>
                    <a:latin typeface="Arial Narrow"/>
                  </a:rPr>
                  <a:t>%</a:t>
                </a:r>
              </a:p>
            </c:rich>
          </c:tx>
          <c:layout>
            <c:manualLayout>
              <c:xMode val="edge"/>
              <c:yMode val="edge"/>
              <c:x val="1.299929957294434E-2"/>
              <c:y val="0.10956441674006254"/>
            </c:manualLayout>
          </c:layout>
          <c:overlay val="0"/>
        </c:title>
        <c:numFmt formatCode="General" sourceLinked="1"/>
        <c:majorTickMark val="in"/>
        <c:minorTickMark val="none"/>
        <c:tickLblPos val="nextTo"/>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a:solidFill>
                  <a:srgbClr val="000000"/>
                </a:solidFill>
                <a:latin typeface="Arial Narrow"/>
                <a:ea typeface="Arial Narrow"/>
                <a:cs typeface="Arial Narrow"/>
              </a:defRPr>
            </a:pPr>
            <a:endParaRPr lang="en-US"/>
          </a:p>
        </c:txPr>
        <c:crossAx val="509683584"/>
        <c:crosses val="autoZero"/>
        <c:crossBetween val="between"/>
      </c:valAx>
      <c:valAx>
        <c:axId val="509691392"/>
        <c:scaling>
          <c:orientation val="minMax"/>
          <c:max val="8"/>
          <c:min val="0"/>
        </c:scaling>
        <c:delete val="0"/>
        <c:axPos val="r"/>
        <c:numFmt formatCode="General" sourceLinked="1"/>
        <c:majorTickMark val="none"/>
        <c:minorTickMark val="none"/>
        <c:tickLblPos val="none"/>
        <c:crossAx val="509692928"/>
        <c:crosses val="max"/>
        <c:crossBetween val="between"/>
      </c:valAx>
      <c:catAx>
        <c:axId val="509692928"/>
        <c:scaling>
          <c:orientation val="minMax"/>
        </c:scaling>
        <c:delete val="1"/>
        <c:axPos val="b"/>
        <c:numFmt formatCode="General" sourceLinked="1"/>
        <c:majorTickMark val="out"/>
        <c:minorTickMark val="none"/>
        <c:tickLblPos val="nextTo"/>
        <c:crossAx val="509691392"/>
        <c:crosses val="autoZero"/>
        <c:auto val="1"/>
        <c:lblAlgn val="ctr"/>
        <c:lblOffset val="100"/>
        <c:noMultiLvlLbl val="0"/>
      </c:catAx>
      <c:spPr>
        <a:solidFill>
          <a:srgbClr val="F4FFFF"/>
        </a:solidFill>
        <a:ln w="9525">
          <a:solidFill>
            <a:srgbClr val="000000"/>
          </a:solidFill>
        </a:ln>
      </c:spPr>
    </c:plotArea>
    <c:legend>
      <c:legendPos val="r"/>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ayout>
        <c:manualLayout>
          <c:xMode val="edge"/>
          <c:yMode val="edge"/>
          <c:x val="4.1301613461006491E-2"/>
          <c:y val="1.9920803043647736E-2"/>
          <c:w val="0.94257169479420377"/>
          <c:h val="7.4703011413679007E-2"/>
        </c:manualLayout>
      </c:layout>
      <c:overlay val="1"/>
      <c:spPr>
        <a:solidFill>
          <a:srgbClr val="EAEAEA"/>
        </a:solidFill>
        <a:ln>
          <a:noFill/>
          <a:round/>
        </a:ln>
        <a:effectLst/>
        <a:extLst>
          <a:ext uri="{91240B29-F687-4F45-9708-019B960494DF}">
            <a14:hiddenLine xmlns:a14="http://schemas.microsoft.com/office/drawing/2010/main">
              <a:noFill/>
              <a:round/>
            </a14:hiddenLine>
          </a:ext>
        </a:extLst>
      </c:spPr>
      <c:txPr>
        <a:bodyPr/>
        <a:lstStyle/>
        <a:p>
          <a:pPr>
            <a:defRPr sz="750" b="0" i="0">
              <a:solidFill>
                <a:srgbClr val="000000"/>
              </a:solidFill>
              <a:latin typeface="Arial Narrow"/>
              <a:ea typeface="Arial Narrow"/>
              <a:cs typeface="Arial Narrow"/>
            </a:defRPr>
          </a:pPr>
          <a:endParaRPr lang="en-US"/>
        </a:p>
      </c:txPr>
    </c:legend>
    <c:plotVisOnly val="1"/>
    <c:dispBlanksAs val="gap"/>
    <c:showDLblsOverMax val="1"/>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4.6230423459710297E-2"/>
          <c:y val="0.16085099971736086"/>
          <c:w val="0.93357975375057256"/>
          <c:h val="0.73047015281777994"/>
        </c:manualLayout>
      </c:layout>
      <c:lineChart>
        <c:grouping val="standard"/>
        <c:varyColors val="0"/>
        <c:ser>
          <c:idx val="0"/>
          <c:order val="0"/>
          <c:tx>
            <c:strRef>
              <c:f>'Figure 3'!$A$12</c:f>
              <c:strCache>
                <c:ptCount val="1"/>
                <c:pt idx="0">
                  <c:v>Capture</c:v>
                </c:pt>
              </c:strCache>
            </c:strRef>
          </c:tx>
          <c:spPr>
            <a:ln w="19050" cap="rnd" cmpd="sng" algn="ctr">
              <a:solidFill>
                <a:srgbClr val="4F81BD"/>
              </a:solidFill>
              <a:prstDash val="solid"/>
              <a:round/>
            </a:ln>
            <a:effectLst/>
          </c:spPr>
          <c:marker>
            <c:symbol val="none"/>
          </c:marker>
          <c:cat>
            <c:numRef>
              <c:f>'Figure 3'!$B$3:$BN$3</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'Figure 3'!$B$12:$BP$12</c:f>
              <c:numCache>
                <c:formatCode>General</c:formatCode>
                <c:ptCount val="67"/>
                <c:pt idx="0">
                  <c:v>0.20313399999999998</c:v>
                </c:pt>
                <c:pt idx="1">
                  <c:v>0.46656799999999998</c:v>
                </c:pt>
                <c:pt idx="2">
                  <c:v>0.52599200000000002</c:v>
                </c:pt>
                <c:pt idx="3">
                  <c:v>0.56426199999999993</c:v>
                </c:pt>
                <c:pt idx="4">
                  <c:v>0.57931600000000005</c:v>
                </c:pt>
                <c:pt idx="5">
                  <c:v>0.61045399999999994</c:v>
                </c:pt>
                <c:pt idx="6">
                  <c:v>0.64568599999999998</c:v>
                </c:pt>
                <c:pt idx="7">
                  <c:v>0.65426700000000004</c:v>
                </c:pt>
                <c:pt idx="8">
                  <c:v>0.62444100000000002</c:v>
                </c:pt>
                <c:pt idx="9">
                  <c:v>0.67696400000000001</c:v>
                </c:pt>
                <c:pt idx="10">
                  <c:v>0.68106100000000003</c:v>
                </c:pt>
                <c:pt idx="11">
                  <c:v>0.82862800000000003</c:v>
                </c:pt>
                <c:pt idx="12">
                  <c:v>0.85793700000000006</c:v>
                </c:pt>
                <c:pt idx="13">
                  <c:v>0.85097599999999995</c:v>
                </c:pt>
                <c:pt idx="14">
                  <c:v>0.91085199999999999</c:v>
                </c:pt>
                <c:pt idx="15">
                  <c:v>0.98090200000000005</c:v>
                </c:pt>
                <c:pt idx="16">
                  <c:v>1.1372610000000001</c:v>
                </c:pt>
                <c:pt idx="17">
                  <c:v>1.0862989999999999</c:v>
                </c:pt>
                <c:pt idx="18">
                  <c:v>1.075825</c:v>
                </c:pt>
                <c:pt idx="19">
                  <c:v>1.1291099999999998</c:v>
                </c:pt>
                <c:pt idx="20">
                  <c:v>1.1484939999999999</c:v>
                </c:pt>
                <c:pt idx="21">
                  <c:v>1.159181</c:v>
                </c:pt>
                <c:pt idx="22">
                  <c:v>1.1778520000000001</c:v>
                </c:pt>
                <c:pt idx="23">
                  <c:v>1.1646110000000001</c:v>
                </c:pt>
                <c:pt idx="24">
                  <c:v>1.2256980000000002</c:v>
                </c:pt>
                <c:pt idx="25">
                  <c:v>1.2269330000000001</c:v>
                </c:pt>
                <c:pt idx="26">
                  <c:v>1.3297670000000001</c:v>
                </c:pt>
                <c:pt idx="27">
                  <c:v>1.414037</c:v>
                </c:pt>
                <c:pt idx="28">
                  <c:v>1.4788920000000001</c:v>
                </c:pt>
                <c:pt idx="29">
                  <c:v>1.567885</c:v>
                </c:pt>
                <c:pt idx="30">
                  <c:v>1.65266</c:v>
                </c:pt>
                <c:pt idx="31">
                  <c:v>1.67703</c:v>
                </c:pt>
                <c:pt idx="32">
                  <c:v>1.7530479999999999</c:v>
                </c:pt>
                <c:pt idx="33">
                  <c:v>1.9445270000000001</c:v>
                </c:pt>
                <c:pt idx="34">
                  <c:v>1.9795469999999999</c:v>
                </c:pt>
                <c:pt idx="35">
                  <c:v>2.089893</c:v>
                </c:pt>
                <c:pt idx="36">
                  <c:v>2.193397</c:v>
                </c:pt>
                <c:pt idx="37">
                  <c:v>2.2830439999999999</c:v>
                </c:pt>
                <c:pt idx="38">
                  <c:v>2.4444330000000001</c:v>
                </c:pt>
                <c:pt idx="39">
                  <c:v>2.5567790000000001</c:v>
                </c:pt>
                <c:pt idx="40">
                  <c:v>2.6418080000000002</c:v>
                </c:pt>
                <c:pt idx="41">
                  <c:v>2.8047230000000001</c:v>
                </c:pt>
                <c:pt idx="42">
                  <c:v>2.9803829999999998</c:v>
                </c:pt>
                <c:pt idx="43">
                  <c:v>3.2081819999999999</c:v>
                </c:pt>
                <c:pt idx="44">
                  <c:v>3.4396119999999999</c:v>
                </c:pt>
                <c:pt idx="45">
                  <c:v>3.644228</c:v>
                </c:pt>
                <c:pt idx="46">
                  <c:v>3.7663389999999999</c:v>
                </c:pt>
                <c:pt idx="47">
                  <c:v>3.9172220000000002</c:v>
                </c:pt>
                <c:pt idx="48">
                  <c:v>4.0124110000000002</c:v>
                </c:pt>
                <c:pt idx="49">
                  <c:v>4.0100709999999999</c:v>
                </c:pt>
                <c:pt idx="50">
                  <c:v>4.1577659999999996</c:v>
                </c:pt>
                <c:pt idx="51">
                  <c:v>4.3352749999999993</c:v>
                </c:pt>
                <c:pt idx="52">
                  <c:v>4.4042409999999999</c:v>
                </c:pt>
                <c:pt idx="53">
                  <c:v>4.6986780000000001</c:v>
                </c:pt>
                <c:pt idx="54">
                  <c:v>4.7395739999999993</c:v>
                </c:pt>
                <c:pt idx="55">
                  <c:v>4.6923810000000001</c:v>
                </c:pt>
                <c:pt idx="56">
                  <c:v>4.7904450000000001</c:v>
                </c:pt>
                <c:pt idx="57">
                  <c:v>5.0349309999999994</c:v>
                </c:pt>
                <c:pt idx="58">
                  <c:v>4.9964360000000001</c:v>
                </c:pt>
                <c:pt idx="59">
                  <c:v>5.1060439999999998</c:v>
                </c:pt>
                <c:pt idx="60">
                  <c:v>5.3761999999999999</c:v>
                </c:pt>
                <c:pt idx="61">
                  <c:v>5.6534690000000003</c:v>
                </c:pt>
                <c:pt idx="62">
                  <c:v>5.7266139999999996</c:v>
                </c:pt>
                <c:pt idx="63">
                  <c:v>6.0549170000000005</c:v>
                </c:pt>
                <c:pt idx="64">
                  <c:v>6.5072290000000006</c:v>
                </c:pt>
                <c:pt idx="66" formatCode="0.0%">
                  <c:v>1</c:v>
                </c:pt>
              </c:numCache>
            </c:numRef>
          </c:val>
          <c:smooth val="0"/>
        </c:ser>
        <c:ser>
          <c:idx val="1"/>
          <c:order val="1"/>
          <c:tx>
            <c:strRef>
              <c:f>'Figure 3'!$A$13</c:f>
              <c:strCache>
                <c:ptCount val="1"/>
                <c:pt idx="0">
                  <c:v>Aquaculture (excl. aquatic plants)</c:v>
                </c:pt>
              </c:strCache>
            </c:strRef>
          </c:tx>
          <c:spPr>
            <a:ln w="19050" cap="rnd" cmpd="sng" algn="ctr">
              <a:solidFill>
                <a:srgbClr val="4F81BD"/>
              </a:solidFill>
              <a:prstDash val="dash"/>
              <a:round/>
            </a:ln>
            <a:effectLst/>
          </c:spPr>
          <c:marker>
            <c:symbol val="none"/>
          </c:marker>
          <c:cat>
            <c:numRef>
              <c:f>'Figure 3'!$B$3:$BN$3</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'Figure 3'!$B$13:$BP$13</c:f>
              <c:numCache>
                <c:formatCode>General</c:formatCode>
                <c:ptCount val="67"/>
                <c:pt idx="0">
                  <c:v>4.1856000000000004E-2</c:v>
                </c:pt>
                <c:pt idx="1">
                  <c:v>4.2411999999999998E-2</c:v>
                </c:pt>
                <c:pt idx="2">
                  <c:v>4.8487999999999996E-2</c:v>
                </c:pt>
                <c:pt idx="3">
                  <c:v>5.4607999999999997E-2</c:v>
                </c:pt>
                <c:pt idx="4">
                  <c:v>5.4143999999999998E-2</c:v>
                </c:pt>
                <c:pt idx="5">
                  <c:v>6.1295999999999996E-2</c:v>
                </c:pt>
                <c:pt idx="6">
                  <c:v>7.0153999999999994E-2</c:v>
                </c:pt>
                <c:pt idx="7">
                  <c:v>7.4052999999999994E-2</c:v>
                </c:pt>
                <c:pt idx="8">
                  <c:v>6.4459000000000002E-2</c:v>
                </c:pt>
                <c:pt idx="9">
                  <c:v>8.0016000000000004E-2</c:v>
                </c:pt>
                <c:pt idx="10">
                  <c:v>8.0478999999999995E-2</c:v>
                </c:pt>
                <c:pt idx="11">
                  <c:v>8.5971999999999993E-2</c:v>
                </c:pt>
                <c:pt idx="12">
                  <c:v>8.9002999999999999E-2</c:v>
                </c:pt>
                <c:pt idx="13">
                  <c:v>8.7894E-2</c:v>
                </c:pt>
                <c:pt idx="14">
                  <c:v>9.2727999999999991E-2</c:v>
                </c:pt>
                <c:pt idx="15">
                  <c:v>9.335800000000001E-2</c:v>
                </c:pt>
                <c:pt idx="16">
                  <c:v>0.10364900000000001</c:v>
                </c:pt>
                <c:pt idx="17">
                  <c:v>0.111221</c:v>
                </c:pt>
                <c:pt idx="18">
                  <c:v>0.103045</c:v>
                </c:pt>
                <c:pt idx="19">
                  <c:v>0.10425</c:v>
                </c:pt>
                <c:pt idx="20">
                  <c:v>0.106867</c:v>
                </c:pt>
                <c:pt idx="21">
                  <c:v>0.110873</c:v>
                </c:pt>
                <c:pt idx="22">
                  <c:v>0.11590300000000001</c:v>
                </c:pt>
                <c:pt idx="23">
                  <c:v>0.12667400000000001</c:v>
                </c:pt>
                <c:pt idx="24">
                  <c:v>0.13323599999999999</c:v>
                </c:pt>
                <c:pt idx="25">
                  <c:v>0.141207</c:v>
                </c:pt>
                <c:pt idx="26">
                  <c:v>0.134933</c:v>
                </c:pt>
                <c:pt idx="27">
                  <c:v>0.146588</c:v>
                </c:pt>
                <c:pt idx="28">
                  <c:v>0.15678600000000001</c:v>
                </c:pt>
                <c:pt idx="29">
                  <c:v>0.16452799999999998</c:v>
                </c:pt>
                <c:pt idx="30">
                  <c:v>0.18252199999999999</c:v>
                </c:pt>
                <c:pt idx="31">
                  <c:v>0.22217900000000002</c:v>
                </c:pt>
                <c:pt idx="32">
                  <c:v>0.22084800000000002</c:v>
                </c:pt>
                <c:pt idx="33">
                  <c:v>0.24642900000000001</c:v>
                </c:pt>
                <c:pt idx="34">
                  <c:v>0.270764</c:v>
                </c:pt>
                <c:pt idx="35">
                  <c:v>0.30140899999999998</c:v>
                </c:pt>
                <c:pt idx="36">
                  <c:v>0.33409</c:v>
                </c:pt>
                <c:pt idx="37">
                  <c:v>0.37672699999999998</c:v>
                </c:pt>
                <c:pt idx="38">
                  <c:v>0.41459699999999999</c:v>
                </c:pt>
                <c:pt idx="39">
                  <c:v>0.44789699999999999</c:v>
                </c:pt>
                <c:pt idx="40">
                  <c:v>0.49982399999999999</c:v>
                </c:pt>
                <c:pt idx="41">
                  <c:v>0.51750699999999994</c:v>
                </c:pt>
                <c:pt idx="42">
                  <c:v>0.55036800000000008</c:v>
                </c:pt>
                <c:pt idx="43">
                  <c:v>0.600414</c:v>
                </c:pt>
                <c:pt idx="44">
                  <c:v>0.601522</c:v>
                </c:pt>
                <c:pt idx="45">
                  <c:v>0.641092</c:v>
                </c:pt>
                <c:pt idx="46">
                  <c:v>0.73309799999999992</c:v>
                </c:pt>
                <c:pt idx="47">
                  <c:v>0.662547</c:v>
                </c:pt>
                <c:pt idx="48">
                  <c:v>0.62979700000000005</c:v>
                </c:pt>
                <c:pt idx="49">
                  <c:v>0.74926899999999996</c:v>
                </c:pt>
                <c:pt idx="50">
                  <c:v>0.78849999999999998</c:v>
                </c:pt>
                <c:pt idx="51">
                  <c:v>0.86427599999999993</c:v>
                </c:pt>
                <c:pt idx="52">
                  <c:v>0.91407100000000008</c:v>
                </c:pt>
                <c:pt idx="53">
                  <c:v>0.99379300000000004</c:v>
                </c:pt>
                <c:pt idx="54">
                  <c:v>1.045051</c:v>
                </c:pt>
                <c:pt idx="55">
                  <c:v>1.197109</c:v>
                </c:pt>
                <c:pt idx="56">
                  <c:v>1.2928989999999998</c:v>
                </c:pt>
                <c:pt idx="57">
                  <c:v>1.3929010000000002</c:v>
                </c:pt>
                <c:pt idx="58">
                  <c:v>1.690221</c:v>
                </c:pt>
                <c:pt idx="59">
                  <c:v>1.73343351</c:v>
                </c:pt>
                <c:pt idx="60">
                  <c:v>2.3048284900000002</c:v>
                </c:pt>
                <c:pt idx="61">
                  <c:v>2.7184211399999998</c:v>
                </c:pt>
                <c:pt idx="62">
                  <c:v>3.0676598199999998</c:v>
                </c:pt>
                <c:pt idx="63">
                  <c:v>3.9738432400000003</c:v>
                </c:pt>
                <c:pt idx="64">
                  <c:v>4.2538964500000001</c:v>
                </c:pt>
              </c:numCache>
            </c:numRef>
          </c:val>
          <c:smooth val="0"/>
        </c:ser>
        <c:ser>
          <c:idx val="2"/>
          <c:order val="2"/>
          <c:tx>
            <c:strRef>
              <c:f>'Figure 3'!$A$14</c:f>
              <c:strCache>
                <c:ptCount val="1"/>
                <c:pt idx="0">
                  <c:v>Aquaculture (incl. aquatic plants)</c:v>
                </c:pt>
              </c:strCache>
            </c:strRef>
          </c:tx>
          <c:spPr>
            <a:ln w="19050" cap="rnd" cmpd="sng" algn="ctr">
              <a:solidFill>
                <a:srgbClr val="4F81BD"/>
              </a:solidFill>
              <a:prstDash val="lgDashDot"/>
              <a:round/>
            </a:ln>
            <a:effectLst/>
          </c:spPr>
          <c:marker>
            <c:symbol val="none"/>
          </c:marker>
          <c:cat>
            <c:numRef>
              <c:f>'Figure 3'!$B$3:$BN$3</c:f>
              <c:numCache>
                <c:formatCode>General</c:formatCode>
                <c:ptCount val="65"/>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'Figure 3'!$B$14:$BP$14</c:f>
              <c:numCache>
                <c:formatCode>General</c:formatCode>
                <c:ptCount val="67"/>
                <c:pt idx="0">
                  <c:v>4.1866E-2</c:v>
                </c:pt>
                <c:pt idx="1">
                  <c:v>4.2432000000000004E-2</c:v>
                </c:pt>
                <c:pt idx="2">
                  <c:v>4.8508000000000003E-2</c:v>
                </c:pt>
                <c:pt idx="3">
                  <c:v>5.4637999999999999E-2</c:v>
                </c:pt>
                <c:pt idx="4">
                  <c:v>5.4183999999999996E-2</c:v>
                </c:pt>
                <c:pt idx="5">
                  <c:v>6.1345999999999998E-2</c:v>
                </c:pt>
                <c:pt idx="6">
                  <c:v>7.0213999999999999E-2</c:v>
                </c:pt>
                <c:pt idx="7">
                  <c:v>7.4132999999999991E-2</c:v>
                </c:pt>
                <c:pt idx="8">
                  <c:v>6.4558999999999991E-2</c:v>
                </c:pt>
                <c:pt idx="9">
                  <c:v>8.0135999999999999E-2</c:v>
                </c:pt>
                <c:pt idx="10">
                  <c:v>8.0639000000000002E-2</c:v>
                </c:pt>
                <c:pt idx="11">
                  <c:v>8.6171999999999999E-2</c:v>
                </c:pt>
                <c:pt idx="12">
                  <c:v>8.9263000000000009E-2</c:v>
                </c:pt>
                <c:pt idx="13">
                  <c:v>8.8223999999999997E-2</c:v>
                </c:pt>
                <c:pt idx="14">
                  <c:v>9.3147999999999995E-2</c:v>
                </c:pt>
                <c:pt idx="15">
                  <c:v>9.3897999999999995E-2</c:v>
                </c:pt>
                <c:pt idx="16">
                  <c:v>0.104339</c:v>
                </c:pt>
                <c:pt idx="17">
                  <c:v>0.11210099999999999</c:v>
                </c:pt>
                <c:pt idx="18">
                  <c:v>0.104175</c:v>
                </c:pt>
                <c:pt idx="19">
                  <c:v>0.10568999999999999</c:v>
                </c:pt>
                <c:pt idx="20">
                  <c:v>0.108706</c:v>
                </c:pt>
                <c:pt idx="21">
                  <c:v>0.114121</c:v>
                </c:pt>
                <c:pt idx="22">
                  <c:v>0.118952</c:v>
                </c:pt>
                <c:pt idx="23">
                  <c:v>0.12983</c:v>
                </c:pt>
                <c:pt idx="24">
                  <c:v>0.136244</c:v>
                </c:pt>
                <c:pt idx="25">
                  <c:v>0.14963300000000002</c:v>
                </c:pt>
                <c:pt idx="26">
                  <c:v>0.15674399999999999</c:v>
                </c:pt>
                <c:pt idx="27">
                  <c:v>0.17377999999999999</c:v>
                </c:pt>
                <c:pt idx="28">
                  <c:v>0.18926599999999999</c:v>
                </c:pt>
                <c:pt idx="29">
                  <c:v>0.20220199999999999</c:v>
                </c:pt>
                <c:pt idx="30">
                  <c:v>0.225296</c:v>
                </c:pt>
                <c:pt idx="31">
                  <c:v>0.269959</c:v>
                </c:pt>
                <c:pt idx="32">
                  <c:v>0.27354099999999998</c:v>
                </c:pt>
                <c:pt idx="33">
                  <c:v>0.30394099999999996</c:v>
                </c:pt>
                <c:pt idx="34">
                  <c:v>0.330764</c:v>
                </c:pt>
                <c:pt idx="35">
                  <c:v>0.359626</c:v>
                </c:pt>
                <c:pt idx="36">
                  <c:v>0.41155200000000003</c:v>
                </c:pt>
                <c:pt idx="37">
                  <c:v>0.45672699999999999</c:v>
                </c:pt>
                <c:pt idx="38">
                  <c:v>0.49959699999999996</c:v>
                </c:pt>
                <c:pt idx="39">
                  <c:v>0.52789700000000006</c:v>
                </c:pt>
                <c:pt idx="40">
                  <c:v>0.59982399999999991</c:v>
                </c:pt>
                <c:pt idx="41">
                  <c:v>0.60750699999999991</c:v>
                </c:pt>
                <c:pt idx="42">
                  <c:v>0.64536800000000005</c:v>
                </c:pt>
                <c:pt idx="43">
                  <c:v>0.71041399999999999</c:v>
                </c:pt>
                <c:pt idx="44">
                  <c:v>0.70352200000000009</c:v>
                </c:pt>
                <c:pt idx="45">
                  <c:v>0.74309199999999997</c:v>
                </c:pt>
                <c:pt idx="46">
                  <c:v>0.88109799999999994</c:v>
                </c:pt>
                <c:pt idx="47">
                  <c:v>0.77754699999999999</c:v>
                </c:pt>
                <c:pt idx="48">
                  <c:v>0.74700699999999998</c:v>
                </c:pt>
                <c:pt idx="49">
                  <c:v>0.88298900000000002</c:v>
                </c:pt>
                <c:pt idx="50">
                  <c:v>0.99372700000000003</c:v>
                </c:pt>
                <c:pt idx="51">
                  <c:v>1.076749</c:v>
                </c:pt>
                <c:pt idx="52">
                  <c:v>1.137151</c:v>
                </c:pt>
                <c:pt idx="53">
                  <c:v>1.2256929999999999</c:v>
                </c:pt>
                <c:pt idx="54">
                  <c:v>1.4556210000000001</c:v>
                </c:pt>
                <c:pt idx="55">
                  <c:v>2.107745</c:v>
                </c:pt>
                <c:pt idx="56">
                  <c:v>2.4628989999999997</c:v>
                </c:pt>
                <c:pt idx="57">
                  <c:v>3.1213760000000002</c:v>
                </c:pt>
                <c:pt idx="58">
                  <c:v>3.8352820000000003</c:v>
                </c:pt>
                <c:pt idx="59">
                  <c:v>4.6969895099999999</c:v>
                </c:pt>
                <c:pt idx="60">
                  <c:v>6.2198454900000009</c:v>
                </c:pt>
                <c:pt idx="61">
                  <c:v>7.8886221399999998</c:v>
                </c:pt>
                <c:pt idx="62">
                  <c:v>9.5825138200000008</c:v>
                </c:pt>
                <c:pt idx="63">
                  <c:v>13.27231724</c:v>
                </c:pt>
                <c:pt idx="64">
                  <c:v>14.330888050000002</c:v>
                </c:pt>
              </c:numCache>
            </c:numRef>
          </c:val>
          <c:smooth val="0"/>
        </c:ser>
        <c:dLbls>
          <c:showLegendKey val="0"/>
          <c:showVal val="0"/>
          <c:showCatName val="0"/>
          <c:showSerName val="0"/>
          <c:showPercent val="0"/>
          <c:showBubbleSize val="0"/>
        </c:dLbls>
        <c:marker val="1"/>
        <c:smooth val="0"/>
        <c:axId val="509717888"/>
        <c:axId val="510150144"/>
      </c:lineChart>
      <c:catAx>
        <c:axId val="509717888"/>
        <c:scaling>
          <c:orientation val="minMax"/>
        </c:scaling>
        <c:delete val="0"/>
        <c:axPos val="b"/>
        <c:majorGridlines>
          <c:spPr>
            <a:ln w="9525" cmpd="sng">
              <a:solidFill>
                <a:srgbClr val="FFFFFF"/>
              </a:solidFill>
              <a:prstDash val="solid"/>
            </a:ln>
          </c:spPr>
        </c:majorGridlines>
        <c:title>
          <c:tx>
            <c:rich>
              <a:bodyPr/>
              <a:lstStyle/>
              <a:p>
                <a:pPr>
                  <a:defRPr sz="750" b="0" i="0">
                    <a:solidFill>
                      <a:srgbClr val="000000"/>
                    </a:solidFill>
                    <a:latin typeface="Arial Narrow"/>
                  </a:defRPr>
                </a:pPr>
                <a:r>
                  <a:rPr lang="en-US" sz="750" b="0" i="0">
                    <a:solidFill>
                      <a:srgbClr val="000000"/>
                    </a:solidFill>
                    <a:latin typeface="Arial Narrow"/>
                  </a:rPr>
                  <a:t>Year</a:t>
                </a:r>
              </a:p>
            </c:rich>
          </c:tx>
          <c:layout>
            <c:manualLayout>
              <c:xMode val="edge"/>
              <c:yMode val="edge"/>
              <c:x val="0.93827342406924885"/>
              <c:y val="0.88121795330732366"/>
            </c:manualLayout>
          </c:layout>
          <c:overlay val="0"/>
        </c:title>
        <c:numFmt formatCode="General" sourceLinked="1"/>
        <c:majorTickMark val="in"/>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a:solidFill>
                  <a:srgbClr val="000000"/>
                </a:solidFill>
                <a:latin typeface="Arial Narrow"/>
                <a:ea typeface="Arial Narrow"/>
                <a:cs typeface="Arial Narrow"/>
              </a:defRPr>
            </a:pPr>
            <a:endParaRPr lang="en-US"/>
          </a:p>
        </c:txPr>
        <c:crossAx val="510150144"/>
        <c:crosses val="autoZero"/>
        <c:auto val="1"/>
        <c:lblAlgn val="ctr"/>
        <c:lblOffset val="0"/>
        <c:tickLblSkip val="10"/>
        <c:noMultiLvlLbl val="0"/>
      </c:catAx>
      <c:valAx>
        <c:axId val="510150144"/>
        <c:scaling>
          <c:orientation val="minMax"/>
          <c:max val="14"/>
        </c:scaling>
        <c:delete val="0"/>
        <c:axPos val="l"/>
        <c:majorGridlines>
          <c:spPr>
            <a:ln w="9525" cmpd="sng">
              <a:solidFill>
                <a:srgbClr val="FFFFFF"/>
              </a:solidFill>
              <a:prstDash val="solid"/>
            </a:ln>
          </c:spPr>
        </c:majorGridlines>
        <c:title>
          <c:tx>
            <c:rich>
              <a:bodyPr rot="0" vert="horz"/>
              <a:lstStyle/>
              <a:p>
                <a:pPr>
                  <a:defRPr sz="750" b="0" i="0">
                    <a:solidFill>
                      <a:srgbClr val="000000"/>
                    </a:solidFill>
                    <a:latin typeface="Arial Narrow"/>
                  </a:defRPr>
                </a:pPr>
                <a:r>
                  <a:rPr lang="en-US" sz="750" b="0" i="0">
                    <a:solidFill>
                      <a:srgbClr val="000000"/>
                    </a:solidFill>
                    <a:latin typeface="Arial Narrow"/>
                  </a:rPr>
                  <a:t>Mt</a:t>
                </a:r>
              </a:p>
            </c:rich>
          </c:tx>
          <c:layout>
            <c:manualLayout>
              <c:xMode val="edge"/>
              <c:yMode val="edge"/>
              <c:x val="4.82989985218562E-2"/>
              <c:y val="0.11836254464936503"/>
            </c:manualLayout>
          </c:layout>
          <c:overlay val="0"/>
        </c:title>
        <c:numFmt formatCode="General" sourceLinked="1"/>
        <c:majorTickMark val="in"/>
        <c:minorTickMark val="none"/>
        <c:tickLblPos val="nextTo"/>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a:solidFill>
                  <a:srgbClr val="000000"/>
                </a:solidFill>
                <a:latin typeface="Arial Narrow"/>
                <a:ea typeface="Arial Narrow"/>
                <a:cs typeface="Arial Narrow"/>
              </a:defRPr>
            </a:pPr>
            <a:endParaRPr lang="en-US"/>
          </a:p>
        </c:txPr>
        <c:crossAx val="509717888"/>
        <c:crosses val="autoZero"/>
        <c:crossBetween val="between"/>
      </c:valAx>
      <c:spPr>
        <a:solidFill>
          <a:srgbClr val="F4FFFF"/>
        </a:solidFill>
        <a:ln w="9525">
          <a:solidFill>
            <a:srgbClr val="000000"/>
          </a:solidFill>
        </a:ln>
      </c:spPr>
    </c:plotArea>
    <c:legend>
      <c:legendPos val="t"/>
      <c:layout>
        <c:manualLayout>
          <c:xMode val="edge"/>
          <c:yMode val="edge"/>
          <c:x val="7.0586682103362705E-2"/>
          <c:y val="4.3819130500788832E-2"/>
          <c:w val="0.81387584386411149"/>
          <c:h val="5.2619472543030586E-2"/>
        </c:manualLayout>
      </c:layout>
      <c:overlay val="0"/>
      <c:txPr>
        <a:bodyPr/>
        <a:lstStyle/>
        <a:p>
          <a:pPr>
            <a:defRPr sz="750">
              <a:latin typeface="Arial Narrow" panose="020B0606020202030204" pitchFamily="34" charset="0"/>
            </a:defRPr>
          </a:pPr>
          <a:endParaRPr lang="en-US"/>
        </a:p>
      </c:txPr>
    </c:legend>
    <c:plotVisOnly val="1"/>
    <c:dispBlanksAs val="gap"/>
    <c:showDLblsOverMax val="1"/>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xMode val="edge"/>
          <c:yMode val="edge"/>
          <c:x val="8.7445796086387494E-3"/>
          <c:y val="9.7661747524437903E-2"/>
          <c:w val="0.98906927548920098"/>
          <c:h val="0.89735805171465"/>
        </c:manualLayout>
      </c:layout>
      <c:barChart>
        <c:barDir val="col"/>
        <c:grouping val="stacked"/>
        <c:varyColors val="0"/>
        <c:ser>
          <c:idx val="1"/>
          <c:order val="1"/>
          <c:tx>
            <c:v>Projected1</c:v>
          </c:tx>
          <c:spPr>
            <a:solidFill>
              <a:srgbClr val="C8D7EA"/>
            </a:solidFill>
            <a:ln>
              <a:solidFill>
                <a:srgbClr val="FFFFFF"/>
              </a:solidFill>
            </a:ln>
          </c:spPr>
          <c:invertIfNegative val="0"/>
          <c:cat>
            <c:strLit>
              <c:ptCount val="81"/>
              <c:pt idx="0">
                <c:v>Aquaculture</c:v>
              </c:pt>
              <c:pt idx="1">
                <c:v>Aquaculture 2000</c:v>
              </c:pt>
              <c:pt idx="6">
                <c:v>Aquaculture 2005</c:v>
              </c:pt>
              <c:pt idx="11">
                <c:v>Aquaculture 2010</c:v>
              </c:pt>
              <c:pt idx="16">
                <c:v>Aquaculture 2015</c:v>
              </c:pt>
              <c:pt idx="21">
                <c:v>Aquaculture 2020</c:v>
              </c:pt>
              <c:pt idx="27">
                <c:v>Capture</c:v>
              </c:pt>
              <c:pt idx="28">
                <c:v>Capture 2000</c:v>
              </c:pt>
              <c:pt idx="33">
                <c:v>Capture 2005</c:v>
              </c:pt>
              <c:pt idx="38">
                <c:v>Capture 2010</c:v>
              </c:pt>
              <c:pt idx="43">
                <c:v>Capture 2015</c:v>
              </c:pt>
              <c:pt idx="48">
                <c:v>Capture 2020</c:v>
              </c:pt>
              <c:pt idx="54">
                <c:v>Fisheries</c:v>
              </c:pt>
              <c:pt idx="55">
                <c:v>Fisheries 2000</c:v>
              </c:pt>
              <c:pt idx="60">
                <c:v>Fisheries 2005</c:v>
              </c:pt>
              <c:pt idx="65">
                <c:v>Fisheries 2010</c:v>
              </c:pt>
              <c:pt idx="70">
                <c:v>Fisheries 2015</c:v>
              </c:pt>
              <c:pt idx="75">
                <c:v>Fisheries 2020</c:v>
              </c:pt>
              <c:pt idx="80">
                <c:v>Fisheries  </c:v>
              </c:pt>
            </c:strLit>
          </c:cat>
          <c:val>
            <c:numLit>
              <c:formatCode>General</c:formatCode>
              <c:ptCount val="8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1</c:v>
              </c:pt>
              <c:pt idx="18">
                <c:v>1</c:v>
              </c:pt>
              <c:pt idx="19">
                <c:v>1</c:v>
              </c:pt>
              <c:pt idx="20">
                <c:v>1</c:v>
              </c:pt>
              <c:pt idx="21">
                <c:v>1</c:v>
              </c:pt>
              <c:pt idx="22">
                <c:v>1</c:v>
              </c:pt>
              <c:pt idx="23">
                <c:v>1</c:v>
              </c:pt>
              <c:pt idx="24">
                <c:v>1</c:v>
              </c:pt>
              <c:pt idx="25">
                <c:v>1</c:v>
              </c:pt>
              <c:pt idx="26">
                <c:v>1</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1</c:v>
              </c:pt>
              <c:pt idx="44">
                <c:v>1</c:v>
              </c:pt>
              <c:pt idx="45">
                <c:v>1</c:v>
              </c:pt>
              <c:pt idx="46">
                <c:v>1</c:v>
              </c:pt>
              <c:pt idx="47">
                <c:v>1</c:v>
              </c:pt>
              <c:pt idx="48">
                <c:v>1</c:v>
              </c:pt>
              <c:pt idx="49">
                <c:v>1</c:v>
              </c:pt>
              <c:pt idx="50">
                <c:v>1</c:v>
              </c:pt>
              <c:pt idx="51">
                <c:v>1</c:v>
              </c:pt>
              <c:pt idx="52">
                <c:v>1</c:v>
              </c:pt>
              <c:pt idx="53">
                <c:v>1</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1</c:v>
              </c:pt>
              <c:pt idx="71">
                <c:v>1</c:v>
              </c:pt>
              <c:pt idx="72">
                <c:v>1</c:v>
              </c:pt>
              <c:pt idx="73">
                <c:v>1</c:v>
              </c:pt>
              <c:pt idx="74">
                <c:v>1</c:v>
              </c:pt>
              <c:pt idx="75">
                <c:v>1</c:v>
              </c:pt>
              <c:pt idx="76">
                <c:v>1</c:v>
              </c:pt>
              <c:pt idx="77">
                <c:v>1</c:v>
              </c:pt>
              <c:pt idx="78">
                <c:v>1</c:v>
              </c:pt>
              <c:pt idx="79">
                <c:v>1</c:v>
              </c:pt>
              <c:pt idx="80">
                <c:v>1</c:v>
              </c:pt>
            </c:numLit>
          </c:val>
        </c:ser>
        <c:ser>
          <c:idx val="2"/>
          <c:order val="2"/>
          <c:tx>
            <c:v>Projected2</c:v>
          </c:tx>
          <c:spPr>
            <a:solidFill>
              <a:srgbClr val="C8D7EA"/>
            </a:solidFill>
            <a:ln>
              <a:solidFill>
                <a:srgbClr val="FFFFFF"/>
              </a:solidFill>
            </a:ln>
          </c:spPr>
          <c:invertIfNegative val="0"/>
          <c:cat>
            <c:strLit>
              <c:ptCount val="81"/>
              <c:pt idx="0">
                <c:v>Aquaculture</c:v>
              </c:pt>
              <c:pt idx="1">
                <c:v>Aquaculture 2000</c:v>
              </c:pt>
              <c:pt idx="6">
                <c:v>Aquaculture 2005</c:v>
              </c:pt>
              <c:pt idx="11">
                <c:v>Aquaculture 2010</c:v>
              </c:pt>
              <c:pt idx="16">
                <c:v>Aquaculture 2015</c:v>
              </c:pt>
              <c:pt idx="21">
                <c:v>Aquaculture 2020</c:v>
              </c:pt>
              <c:pt idx="27">
                <c:v>Capture</c:v>
              </c:pt>
              <c:pt idx="28">
                <c:v>Capture 2000</c:v>
              </c:pt>
              <c:pt idx="33">
                <c:v>Capture 2005</c:v>
              </c:pt>
              <c:pt idx="38">
                <c:v>Capture 2010</c:v>
              </c:pt>
              <c:pt idx="43">
                <c:v>Capture 2015</c:v>
              </c:pt>
              <c:pt idx="48">
                <c:v>Capture 2020</c:v>
              </c:pt>
              <c:pt idx="54">
                <c:v>Fisheries</c:v>
              </c:pt>
              <c:pt idx="55">
                <c:v>Fisheries 2000</c:v>
              </c:pt>
              <c:pt idx="60">
                <c:v>Fisheries 2005</c:v>
              </c:pt>
              <c:pt idx="65">
                <c:v>Fisheries 2010</c:v>
              </c:pt>
              <c:pt idx="70">
                <c:v>Fisheries 2015</c:v>
              </c:pt>
              <c:pt idx="75">
                <c:v>Fisheries 2020</c:v>
              </c:pt>
              <c:pt idx="80">
                <c:v>Fisheries  </c:v>
              </c:pt>
            </c:strLit>
          </c:cat>
          <c:val>
            <c:numLit>
              <c:formatCode>General</c:formatCode>
              <c:ptCount val="8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1</c:v>
              </c:pt>
              <c:pt idx="18">
                <c:v>1</c:v>
              </c:pt>
              <c:pt idx="19">
                <c:v>1</c:v>
              </c:pt>
              <c:pt idx="20">
                <c:v>1</c:v>
              </c:pt>
              <c:pt idx="21">
                <c:v>1</c:v>
              </c:pt>
              <c:pt idx="22">
                <c:v>1</c:v>
              </c:pt>
              <c:pt idx="23">
                <c:v>1</c:v>
              </c:pt>
              <c:pt idx="24">
                <c:v>1</c:v>
              </c:pt>
              <c:pt idx="25">
                <c:v>1</c:v>
              </c:pt>
              <c:pt idx="26">
                <c:v>1</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1</c:v>
              </c:pt>
              <c:pt idx="44">
                <c:v>1</c:v>
              </c:pt>
              <c:pt idx="45">
                <c:v>1</c:v>
              </c:pt>
              <c:pt idx="46">
                <c:v>1</c:v>
              </c:pt>
              <c:pt idx="47">
                <c:v>1</c:v>
              </c:pt>
              <c:pt idx="48">
                <c:v>1</c:v>
              </c:pt>
              <c:pt idx="49">
                <c:v>1</c:v>
              </c:pt>
              <c:pt idx="50">
                <c:v>1</c:v>
              </c:pt>
              <c:pt idx="51">
                <c:v>1</c:v>
              </c:pt>
              <c:pt idx="52">
                <c:v>1</c:v>
              </c:pt>
              <c:pt idx="53">
                <c:v>1</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1</c:v>
              </c:pt>
              <c:pt idx="71">
                <c:v>1</c:v>
              </c:pt>
              <c:pt idx="72">
                <c:v>1</c:v>
              </c:pt>
              <c:pt idx="73">
                <c:v>1</c:v>
              </c:pt>
              <c:pt idx="74">
                <c:v>1</c:v>
              </c:pt>
              <c:pt idx="75">
                <c:v>1</c:v>
              </c:pt>
              <c:pt idx="76">
                <c:v>1</c:v>
              </c:pt>
              <c:pt idx="77">
                <c:v>1</c:v>
              </c:pt>
              <c:pt idx="78">
                <c:v>1</c:v>
              </c:pt>
              <c:pt idx="79">
                <c:v>1</c:v>
              </c:pt>
              <c:pt idx="80">
                <c:v>1</c:v>
              </c:pt>
            </c:numLit>
          </c:val>
        </c:ser>
        <c:ser>
          <c:idx val="3"/>
          <c:order val="3"/>
          <c:tx>
            <c:v>Projected3</c:v>
          </c:tx>
          <c:spPr>
            <a:solidFill>
              <a:srgbClr val="C8D7EA"/>
            </a:solidFill>
            <a:ln>
              <a:solidFill>
                <a:srgbClr val="FFFFFF"/>
              </a:solidFill>
            </a:ln>
          </c:spPr>
          <c:invertIfNegative val="0"/>
          <c:cat>
            <c:strLit>
              <c:ptCount val="81"/>
              <c:pt idx="0">
                <c:v>Aquaculture</c:v>
              </c:pt>
              <c:pt idx="1">
                <c:v>Aquaculture 2000</c:v>
              </c:pt>
              <c:pt idx="6">
                <c:v>Aquaculture 2005</c:v>
              </c:pt>
              <c:pt idx="11">
                <c:v>Aquaculture 2010</c:v>
              </c:pt>
              <c:pt idx="16">
                <c:v>Aquaculture 2015</c:v>
              </c:pt>
              <c:pt idx="21">
                <c:v>Aquaculture 2020</c:v>
              </c:pt>
              <c:pt idx="27">
                <c:v>Capture</c:v>
              </c:pt>
              <c:pt idx="28">
                <c:v>Capture 2000</c:v>
              </c:pt>
              <c:pt idx="33">
                <c:v>Capture 2005</c:v>
              </c:pt>
              <c:pt idx="38">
                <c:v>Capture 2010</c:v>
              </c:pt>
              <c:pt idx="43">
                <c:v>Capture 2015</c:v>
              </c:pt>
              <c:pt idx="48">
                <c:v>Capture 2020</c:v>
              </c:pt>
              <c:pt idx="54">
                <c:v>Fisheries</c:v>
              </c:pt>
              <c:pt idx="55">
                <c:v>Fisheries 2000</c:v>
              </c:pt>
              <c:pt idx="60">
                <c:v>Fisheries 2005</c:v>
              </c:pt>
              <c:pt idx="65">
                <c:v>Fisheries 2010</c:v>
              </c:pt>
              <c:pt idx="70">
                <c:v>Fisheries 2015</c:v>
              </c:pt>
              <c:pt idx="75">
                <c:v>Fisheries 2020</c:v>
              </c:pt>
              <c:pt idx="80">
                <c:v>Fisheries  </c:v>
              </c:pt>
            </c:strLit>
          </c:cat>
          <c:val>
            <c:numLit>
              <c:formatCode>General</c:formatCode>
              <c:ptCount val="8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1</c:v>
              </c:pt>
              <c:pt idx="18">
                <c:v>1</c:v>
              </c:pt>
              <c:pt idx="19">
                <c:v>1</c:v>
              </c:pt>
              <c:pt idx="20">
                <c:v>1</c:v>
              </c:pt>
              <c:pt idx="21">
                <c:v>1</c:v>
              </c:pt>
              <c:pt idx="22">
                <c:v>1</c:v>
              </c:pt>
              <c:pt idx="23">
                <c:v>1</c:v>
              </c:pt>
              <c:pt idx="24">
                <c:v>1</c:v>
              </c:pt>
              <c:pt idx="25">
                <c:v>1</c:v>
              </c:pt>
              <c:pt idx="26">
                <c:v>1</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1</c:v>
              </c:pt>
              <c:pt idx="44">
                <c:v>1</c:v>
              </c:pt>
              <c:pt idx="45">
                <c:v>1</c:v>
              </c:pt>
              <c:pt idx="46">
                <c:v>1</c:v>
              </c:pt>
              <c:pt idx="47">
                <c:v>1</c:v>
              </c:pt>
              <c:pt idx="48">
                <c:v>1</c:v>
              </c:pt>
              <c:pt idx="49">
                <c:v>1</c:v>
              </c:pt>
              <c:pt idx="50">
                <c:v>1</c:v>
              </c:pt>
              <c:pt idx="51">
                <c:v>1</c:v>
              </c:pt>
              <c:pt idx="52">
                <c:v>1</c:v>
              </c:pt>
              <c:pt idx="53">
                <c:v>1</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1</c:v>
              </c:pt>
              <c:pt idx="71">
                <c:v>1</c:v>
              </c:pt>
              <c:pt idx="72">
                <c:v>1</c:v>
              </c:pt>
              <c:pt idx="73">
                <c:v>1</c:v>
              </c:pt>
              <c:pt idx="74">
                <c:v>1</c:v>
              </c:pt>
              <c:pt idx="75">
                <c:v>1</c:v>
              </c:pt>
              <c:pt idx="76">
                <c:v>1</c:v>
              </c:pt>
              <c:pt idx="77">
                <c:v>1</c:v>
              </c:pt>
              <c:pt idx="78">
                <c:v>1</c:v>
              </c:pt>
              <c:pt idx="79">
                <c:v>1</c:v>
              </c:pt>
              <c:pt idx="80">
                <c:v>1</c:v>
              </c:pt>
            </c:numLit>
          </c:val>
        </c:ser>
        <c:ser>
          <c:idx val="4"/>
          <c:order val="4"/>
          <c:tx>
            <c:v>Projected4</c:v>
          </c:tx>
          <c:spPr>
            <a:solidFill>
              <a:srgbClr val="C8D7EA"/>
            </a:solidFill>
            <a:ln>
              <a:solidFill>
                <a:srgbClr val="FFFFFF"/>
              </a:solidFill>
            </a:ln>
          </c:spPr>
          <c:invertIfNegative val="0"/>
          <c:cat>
            <c:strLit>
              <c:ptCount val="81"/>
              <c:pt idx="0">
                <c:v>Aquaculture</c:v>
              </c:pt>
              <c:pt idx="1">
                <c:v>Aquaculture 2000</c:v>
              </c:pt>
              <c:pt idx="6">
                <c:v>Aquaculture 2005</c:v>
              </c:pt>
              <c:pt idx="11">
                <c:v>Aquaculture 2010</c:v>
              </c:pt>
              <c:pt idx="16">
                <c:v>Aquaculture 2015</c:v>
              </c:pt>
              <c:pt idx="21">
                <c:v>Aquaculture 2020</c:v>
              </c:pt>
              <c:pt idx="27">
                <c:v>Capture</c:v>
              </c:pt>
              <c:pt idx="28">
                <c:v>Capture 2000</c:v>
              </c:pt>
              <c:pt idx="33">
                <c:v>Capture 2005</c:v>
              </c:pt>
              <c:pt idx="38">
                <c:v>Capture 2010</c:v>
              </c:pt>
              <c:pt idx="43">
                <c:v>Capture 2015</c:v>
              </c:pt>
              <c:pt idx="48">
                <c:v>Capture 2020</c:v>
              </c:pt>
              <c:pt idx="54">
                <c:v>Fisheries</c:v>
              </c:pt>
              <c:pt idx="55">
                <c:v>Fisheries 2000</c:v>
              </c:pt>
              <c:pt idx="60">
                <c:v>Fisheries 2005</c:v>
              </c:pt>
              <c:pt idx="65">
                <c:v>Fisheries 2010</c:v>
              </c:pt>
              <c:pt idx="70">
                <c:v>Fisheries 2015</c:v>
              </c:pt>
              <c:pt idx="75">
                <c:v>Fisheries 2020</c:v>
              </c:pt>
              <c:pt idx="80">
                <c:v>Fisheries  </c:v>
              </c:pt>
            </c:strLit>
          </c:cat>
          <c:val>
            <c:numLit>
              <c:formatCode>General</c:formatCode>
              <c:ptCount val="8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1</c:v>
              </c:pt>
              <c:pt idx="18">
                <c:v>1</c:v>
              </c:pt>
              <c:pt idx="19">
                <c:v>1</c:v>
              </c:pt>
              <c:pt idx="20">
                <c:v>1</c:v>
              </c:pt>
              <c:pt idx="21">
                <c:v>1</c:v>
              </c:pt>
              <c:pt idx="22">
                <c:v>1</c:v>
              </c:pt>
              <c:pt idx="23">
                <c:v>1</c:v>
              </c:pt>
              <c:pt idx="24">
                <c:v>1</c:v>
              </c:pt>
              <c:pt idx="25">
                <c:v>1</c:v>
              </c:pt>
              <c:pt idx="26">
                <c:v>1</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1</c:v>
              </c:pt>
              <c:pt idx="44">
                <c:v>1</c:v>
              </c:pt>
              <c:pt idx="45">
                <c:v>1</c:v>
              </c:pt>
              <c:pt idx="46">
                <c:v>1</c:v>
              </c:pt>
              <c:pt idx="47">
                <c:v>1</c:v>
              </c:pt>
              <c:pt idx="48">
                <c:v>1</c:v>
              </c:pt>
              <c:pt idx="49">
                <c:v>1</c:v>
              </c:pt>
              <c:pt idx="50">
                <c:v>1</c:v>
              </c:pt>
              <c:pt idx="51">
                <c:v>1</c:v>
              </c:pt>
              <c:pt idx="52">
                <c:v>1</c:v>
              </c:pt>
              <c:pt idx="53">
                <c:v>1</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1</c:v>
              </c:pt>
              <c:pt idx="71">
                <c:v>1</c:v>
              </c:pt>
              <c:pt idx="72">
                <c:v>1</c:v>
              </c:pt>
              <c:pt idx="73">
                <c:v>1</c:v>
              </c:pt>
              <c:pt idx="74">
                <c:v>1</c:v>
              </c:pt>
              <c:pt idx="75">
                <c:v>1</c:v>
              </c:pt>
              <c:pt idx="76">
                <c:v>1</c:v>
              </c:pt>
              <c:pt idx="77">
                <c:v>1</c:v>
              </c:pt>
              <c:pt idx="78">
                <c:v>1</c:v>
              </c:pt>
              <c:pt idx="79">
                <c:v>1</c:v>
              </c:pt>
              <c:pt idx="80">
                <c:v>1</c:v>
              </c:pt>
            </c:numLit>
          </c:val>
        </c:ser>
        <c:ser>
          <c:idx val="5"/>
          <c:order val="5"/>
          <c:tx>
            <c:v>Projected5</c:v>
          </c:tx>
          <c:spPr>
            <a:solidFill>
              <a:srgbClr val="C8D7EA"/>
            </a:solidFill>
            <a:ln>
              <a:solidFill>
                <a:srgbClr val="FFFFFF"/>
              </a:solidFill>
            </a:ln>
          </c:spPr>
          <c:invertIfNegative val="0"/>
          <c:cat>
            <c:strLit>
              <c:ptCount val="81"/>
              <c:pt idx="0">
                <c:v>Aquaculture</c:v>
              </c:pt>
              <c:pt idx="1">
                <c:v>Aquaculture 2000</c:v>
              </c:pt>
              <c:pt idx="6">
                <c:v>Aquaculture 2005</c:v>
              </c:pt>
              <c:pt idx="11">
                <c:v>Aquaculture 2010</c:v>
              </c:pt>
              <c:pt idx="16">
                <c:v>Aquaculture 2015</c:v>
              </c:pt>
              <c:pt idx="21">
                <c:v>Aquaculture 2020</c:v>
              </c:pt>
              <c:pt idx="27">
                <c:v>Capture</c:v>
              </c:pt>
              <c:pt idx="28">
                <c:v>Capture 2000</c:v>
              </c:pt>
              <c:pt idx="33">
                <c:v>Capture 2005</c:v>
              </c:pt>
              <c:pt idx="38">
                <c:v>Capture 2010</c:v>
              </c:pt>
              <c:pt idx="43">
                <c:v>Capture 2015</c:v>
              </c:pt>
              <c:pt idx="48">
                <c:v>Capture 2020</c:v>
              </c:pt>
              <c:pt idx="54">
                <c:v>Fisheries</c:v>
              </c:pt>
              <c:pt idx="55">
                <c:v>Fisheries 2000</c:v>
              </c:pt>
              <c:pt idx="60">
                <c:v>Fisheries 2005</c:v>
              </c:pt>
              <c:pt idx="65">
                <c:v>Fisheries 2010</c:v>
              </c:pt>
              <c:pt idx="70">
                <c:v>Fisheries 2015</c:v>
              </c:pt>
              <c:pt idx="75">
                <c:v>Fisheries 2020</c:v>
              </c:pt>
              <c:pt idx="80">
                <c:v>Fisheries  </c:v>
              </c:pt>
            </c:strLit>
          </c:cat>
          <c:val>
            <c:numLit>
              <c:formatCode>General</c:formatCode>
              <c:ptCount val="8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1</c:v>
              </c:pt>
              <c:pt idx="18">
                <c:v>1</c:v>
              </c:pt>
              <c:pt idx="19">
                <c:v>1</c:v>
              </c:pt>
              <c:pt idx="20">
                <c:v>1</c:v>
              </c:pt>
              <c:pt idx="21">
                <c:v>1</c:v>
              </c:pt>
              <c:pt idx="22">
                <c:v>1</c:v>
              </c:pt>
              <c:pt idx="23">
                <c:v>1</c:v>
              </c:pt>
              <c:pt idx="24">
                <c:v>1</c:v>
              </c:pt>
              <c:pt idx="25">
                <c:v>1</c:v>
              </c:pt>
              <c:pt idx="26">
                <c:v>1</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1</c:v>
              </c:pt>
              <c:pt idx="44">
                <c:v>1</c:v>
              </c:pt>
              <c:pt idx="45">
                <c:v>1</c:v>
              </c:pt>
              <c:pt idx="46">
                <c:v>1</c:v>
              </c:pt>
              <c:pt idx="47">
                <c:v>1</c:v>
              </c:pt>
              <c:pt idx="48">
                <c:v>1</c:v>
              </c:pt>
              <c:pt idx="49">
                <c:v>1</c:v>
              </c:pt>
              <c:pt idx="50">
                <c:v>1</c:v>
              </c:pt>
              <c:pt idx="51">
                <c:v>1</c:v>
              </c:pt>
              <c:pt idx="52">
                <c:v>1</c:v>
              </c:pt>
              <c:pt idx="53">
                <c:v>1</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1</c:v>
              </c:pt>
              <c:pt idx="71">
                <c:v>1</c:v>
              </c:pt>
              <c:pt idx="72">
                <c:v>1</c:v>
              </c:pt>
              <c:pt idx="73">
                <c:v>1</c:v>
              </c:pt>
              <c:pt idx="74">
                <c:v>1</c:v>
              </c:pt>
              <c:pt idx="75">
                <c:v>1</c:v>
              </c:pt>
              <c:pt idx="76">
                <c:v>1</c:v>
              </c:pt>
              <c:pt idx="77">
                <c:v>1</c:v>
              </c:pt>
              <c:pt idx="78">
                <c:v>1</c:v>
              </c:pt>
              <c:pt idx="79">
                <c:v>1</c:v>
              </c:pt>
              <c:pt idx="80">
                <c:v>1</c:v>
              </c:pt>
            </c:numLit>
          </c:val>
        </c:ser>
        <c:ser>
          <c:idx val="6"/>
          <c:order val="6"/>
          <c:tx>
            <c:v>Projected6</c:v>
          </c:tx>
          <c:spPr>
            <a:solidFill>
              <a:srgbClr val="C8D7EA"/>
            </a:solidFill>
            <a:ln>
              <a:solidFill>
                <a:srgbClr val="FFFFFF"/>
              </a:solidFill>
            </a:ln>
          </c:spPr>
          <c:invertIfNegative val="0"/>
          <c:cat>
            <c:strLit>
              <c:ptCount val="81"/>
              <c:pt idx="0">
                <c:v>Aquaculture</c:v>
              </c:pt>
              <c:pt idx="1">
                <c:v>Aquaculture 2000</c:v>
              </c:pt>
              <c:pt idx="6">
                <c:v>Aquaculture 2005</c:v>
              </c:pt>
              <c:pt idx="11">
                <c:v>Aquaculture 2010</c:v>
              </c:pt>
              <c:pt idx="16">
                <c:v>Aquaculture 2015</c:v>
              </c:pt>
              <c:pt idx="21">
                <c:v>Aquaculture 2020</c:v>
              </c:pt>
              <c:pt idx="27">
                <c:v>Capture</c:v>
              </c:pt>
              <c:pt idx="28">
                <c:v>Capture 2000</c:v>
              </c:pt>
              <c:pt idx="33">
                <c:v>Capture 2005</c:v>
              </c:pt>
              <c:pt idx="38">
                <c:v>Capture 2010</c:v>
              </c:pt>
              <c:pt idx="43">
                <c:v>Capture 2015</c:v>
              </c:pt>
              <c:pt idx="48">
                <c:v>Capture 2020</c:v>
              </c:pt>
              <c:pt idx="54">
                <c:v>Fisheries</c:v>
              </c:pt>
              <c:pt idx="55">
                <c:v>Fisheries 2000</c:v>
              </c:pt>
              <c:pt idx="60">
                <c:v>Fisheries 2005</c:v>
              </c:pt>
              <c:pt idx="65">
                <c:v>Fisheries 2010</c:v>
              </c:pt>
              <c:pt idx="70">
                <c:v>Fisheries 2015</c:v>
              </c:pt>
              <c:pt idx="75">
                <c:v>Fisheries 2020</c:v>
              </c:pt>
              <c:pt idx="80">
                <c:v>Fisheries  </c:v>
              </c:pt>
            </c:strLit>
          </c:cat>
          <c:val>
            <c:numLit>
              <c:formatCode>General</c:formatCode>
              <c:ptCount val="8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1</c:v>
              </c:pt>
              <c:pt idx="18">
                <c:v>1</c:v>
              </c:pt>
              <c:pt idx="19">
                <c:v>1</c:v>
              </c:pt>
              <c:pt idx="20">
                <c:v>1</c:v>
              </c:pt>
              <c:pt idx="21">
                <c:v>1</c:v>
              </c:pt>
              <c:pt idx="22">
                <c:v>1</c:v>
              </c:pt>
              <c:pt idx="23">
                <c:v>1</c:v>
              </c:pt>
              <c:pt idx="24">
                <c:v>1</c:v>
              </c:pt>
              <c:pt idx="25">
                <c:v>1</c:v>
              </c:pt>
              <c:pt idx="26">
                <c:v>1</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1</c:v>
              </c:pt>
              <c:pt idx="44">
                <c:v>1</c:v>
              </c:pt>
              <c:pt idx="45">
                <c:v>1</c:v>
              </c:pt>
              <c:pt idx="46">
                <c:v>1</c:v>
              </c:pt>
              <c:pt idx="47">
                <c:v>1</c:v>
              </c:pt>
              <c:pt idx="48">
                <c:v>1</c:v>
              </c:pt>
              <c:pt idx="49">
                <c:v>1</c:v>
              </c:pt>
              <c:pt idx="50">
                <c:v>1</c:v>
              </c:pt>
              <c:pt idx="51">
                <c:v>1</c:v>
              </c:pt>
              <c:pt idx="52">
                <c:v>1</c:v>
              </c:pt>
              <c:pt idx="53">
                <c:v>1</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1</c:v>
              </c:pt>
              <c:pt idx="71">
                <c:v>1</c:v>
              </c:pt>
              <c:pt idx="72">
                <c:v>1</c:v>
              </c:pt>
              <c:pt idx="73">
                <c:v>1</c:v>
              </c:pt>
              <c:pt idx="74">
                <c:v>1</c:v>
              </c:pt>
              <c:pt idx="75">
                <c:v>1</c:v>
              </c:pt>
              <c:pt idx="76">
                <c:v>1</c:v>
              </c:pt>
              <c:pt idx="77">
                <c:v>1</c:v>
              </c:pt>
              <c:pt idx="78">
                <c:v>1</c:v>
              </c:pt>
              <c:pt idx="79">
                <c:v>1</c:v>
              </c:pt>
              <c:pt idx="80">
                <c:v>1</c:v>
              </c:pt>
            </c:numLit>
          </c:val>
        </c:ser>
        <c:ser>
          <c:idx val="7"/>
          <c:order val="7"/>
          <c:tx>
            <c:v>Projected7</c:v>
          </c:tx>
          <c:spPr>
            <a:solidFill>
              <a:srgbClr val="C8D7EA"/>
            </a:solidFill>
            <a:ln>
              <a:solidFill>
                <a:srgbClr val="FFFFFF"/>
              </a:solidFill>
            </a:ln>
          </c:spPr>
          <c:invertIfNegative val="0"/>
          <c:cat>
            <c:strLit>
              <c:ptCount val="81"/>
              <c:pt idx="0">
                <c:v>Aquaculture</c:v>
              </c:pt>
              <c:pt idx="1">
                <c:v>Aquaculture 2000</c:v>
              </c:pt>
              <c:pt idx="6">
                <c:v>Aquaculture 2005</c:v>
              </c:pt>
              <c:pt idx="11">
                <c:v>Aquaculture 2010</c:v>
              </c:pt>
              <c:pt idx="16">
                <c:v>Aquaculture 2015</c:v>
              </c:pt>
              <c:pt idx="21">
                <c:v>Aquaculture 2020</c:v>
              </c:pt>
              <c:pt idx="27">
                <c:v>Capture</c:v>
              </c:pt>
              <c:pt idx="28">
                <c:v>Capture 2000</c:v>
              </c:pt>
              <c:pt idx="33">
                <c:v>Capture 2005</c:v>
              </c:pt>
              <c:pt idx="38">
                <c:v>Capture 2010</c:v>
              </c:pt>
              <c:pt idx="43">
                <c:v>Capture 2015</c:v>
              </c:pt>
              <c:pt idx="48">
                <c:v>Capture 2020</c:v>
              </c:pt>
              <c:pt idx="54">
                <c:v>Fisheries</c:v>
              </c:pt>
              <c:pt idx="55">
                <c:v>Fisheries 2000</c:v>
              </c:pt>
              <c:pt idx="60">
                <c:v>Fisheries 2005</c:v>
              </c:pt>
              <c:pt idx="65">
                <c:v>Fisheries 2010</c:v>
              </c:pt>
              <c:pt idx="70">
                <c:v>Fisheries 2015</c:v>
              </c:pt>
              <c:pt idx="75">
                <c:v>Fisheries 2020</c:v>
              </c:pt>
              <c:pt idx="80">
                <c:v>Fisheries  </c:v>
              </c:pt>
            </c:strLit>
          </c:cat>
          <c:val>
            <c:numLit>
              <c:formatCode>General</c:formatCode>
              <c:ptCount val="8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0.95</c:v>
              </c:pt>
              <c:pt idx="17">
                <c:v>0.95</c:v>
              </c:pt>
              <c:pt idx="18">
                <c:v>0.95</c:v>
              </c:pt>
              <c:pt idx="19">
                <c:v>0.95</c:v>
              </c:pt>
              <c:pt idx="20">
                <c:v>0.95</c:v>
              </c:pt>
              <c:pt idx="21">
                <c:v>0.95</c:v>
              </c:pt>
              <c:pt idx="22">
                <c:v>0.95</c:v>
              </c:pt>
              <c:pt idx="23">
                <c:v>0.95</c:v>
              </c:pt>
              <c:pt idx="24">
                <c:v>0.95</c:v>
              </c:pt>
              <c:pt idx="25">
                <c:v>0.95</c:v>
              </c:pt>
              <c:pt idx="26">
                <c:v>0.95</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0.95</c:v>
              </c:pt>
              <c:pt idx="44">
                <c:v>0.95</c:v>
              </c:pt>
              <c:pt idx="45">
                <c:v>0.95</c:v>
              </c:pt>
              <c:pt idx="46">
                <c:v>0.95</c:v>
              </c:pt>
              <c:pt idx="47">
                <c:v>0.95</c:v>
              </c:pt>
              <c:pt idx="48">
                <c:v>0.95</c:v>
              </c:pt>
              <c:pt idx="49">
                <c:v>0.95</c:v>
              </c:pt>
              <c:pt idx="50">
                <c:v>0.95</c:v>
              </c:pt>
              <c:pt idx="51">
                <c:v>0.95</c:v>
              </c:pt>
              <c:pt idx="52">
                <c:v>0.95</c:v>
              </c:pt>
              <c:pt idx="53">
                <c:v>0.95</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0.95</c:v>
              </c:pt>
              <c:pt idx="71">
                <c:v>0.95</c:v>
              </c:pt>
              <c:pt idx="72">
                <c:v>0.95</c:v>
              </c:pt>
              <c:pt idx="73">
                <c:v>0.95</c:v>
              </c:pt>
              <c:pt idx="74">
                <c:v>0.95</c:v>
              </c:pt>
              <c:pt idx="75">
                <c:v>0.95</c:v>
              </c:pt>
              <c:pt idx="76">
                <c:v>0.95</c:v>
              </c:pt>
              <c:pt idx="77">
                <c:v>0.95</c:v>
              </c:pt>
              <c:pt idx="78">
                <c:v>0.95</c:v>
              </c:pt>
              <c:pt idx="79">
                <c:v>0.95</c:v>
              </c:pt>
              <c:pt idx="80">
                <c:v>0.95</c:v>
              </c:pt>
            </c:numLit>
          </c:val>
        </c:ser>
        <c:dLbls>
          <c:showLegendKey val="0"/>
          <c:showVal val="0"/>
          <c:showCatName val="0"/>
          <c:showSerName val="0"/>
          <c:showPercent val="0"/>
          <c:showBubbleSize val="0"/>
        </c:dLbls>
        <c:gapWidth val="0"/>
        <c:overlap val="100"/>
        <c:axId val="510246912"/>
        <c:axId val="510245120"/>
      </c:barChart>
      <c:lineChart>
        <c:grouping val="standard"/>
        <c:varyColors val="0"/>
        <c:ser>
          <c:idx val="0"/>
          <c:order val="0"/>
          <c:tx>
            <c:strRef>
              <c:f>'Figure 1'!$A$5</c:f>
              <c:strCache>
                <c:ptCount val="1"/>
                <c:pt idx="0">
                  <c:v>Indonesia</c:v>
                </c:pt>
              </c:strCache>
            </c:strRef>
          </c:tx>
          <c:spPr>
            <a:ln w="19050" cap="rnd" cmpd="sng" algn="ctr">
              <a:solidFill>
                <a:srgbClr val="4F81BD"/>
              </a:solidFill>
              <a:prstDash val="solid"/>
              <a:round/>
            </a:ln>
            <a:effectLst/>
          </c:spPr>
          <c:marker>
            <c:symbol val="none"/>
          </c:marker>
          <c:cat>
            <c:multiLvlStrRef>
              <c:f>'Figure 1'!$B$3:$CD$4</c:f>
              <c:multiLvlStrCache>
                <c:ptCount val="81"/>
                <c:lvl>
                  <c:pt idx="1">
                    <c:v>2000</c:v>
                  </c:pt>
                  <c:pt idx="6">
                    <c:v>2005</c:v>
                  </c:pt>
                  <c:pt idx="11">
                    <c:v>2010</c:v>
                  </c:pt>
                  <c:pt idx="16">
                    <c:v>2015</c:v>
                  </c:pt>
                  <c:pt idx="21">
                    <c:v>2020</c:v>
                  </c:pt>
                  <c:pt idx="25">
                    <c:v>2024</c:v>
                  </c:pt>
                  <c:pt idx="28">
                    <c:v>2000</c:v>
                  </c:pt>
                  <c:pt idx="33">
                    <c:v>2005</c:v>
                  </c:pt>
                  <c:pt idx="38">
                    <c:v>2010</c:v>
                  </c:pt>
                  <c:pt idx="43">
                    <c:v>2015</c:v>
                  </c:pt>
                  <c:pt idx="48">
                    <c:v>2020</c:v>
                  </c:pt>
                  <c:pt idx="52">
                    <c:v>2024</c:v>
                  </c:pt>
                  <c:pt idx="55">
                    <c:v>2000</c:v>
                  </c:pt>
                  <c:pt idx="60">
                    <c:v>2005</c:v>
                  </c:pt>
                  <c:pt idx="65">
                    <c:v>2010</c:v>
                  </c:pt>
                  <c:pt idx="70">
                    <c:v>2015</c:v>
                  </c:pt>
                  <c:pt idx="75">
                    <c:v>2020</c:v>
                  </c:pt>
                  <c:pt idx="79">
                    <c:v>2024</c:v>
                  </c:pt>
                  <c:pt idx="80">
                    <c:v> </c:v>
                  </c:pt>
                </c:lvl>
                <c:lvl>
                  <c:pt idx="0">
                    <c:v>Aquaculture</c:v>
                  </c:pt>
                  <c:pt idx="27">
                    <c:v>Capture</c:v>
                  </c:pt>
                  <c:pt idx="54">
                    <c:v>Total fisheries</c:v>
                  </c:pt>
                </c:lvl>
              </c:multiLvlStrCache>
            </c:multiLvlStrRef>
          </c:cat>
          <c:val>
            <c:numRef>
              <c:f>'Figure 1'!$B$5:$CD$5</c:f>
              <c:numCache>
                <c:formatCode>General</c:formatCode>
                <c:ptCount val="81"/>
                <c:pt idx="1">
                  <c:v>0.78849999999999998</c:v>
                </c:pt>
                <c:pt idx="2">
                  <c:v>0.86427600000000004</c:v>
                </c:pt>
                <c:pt idx="3">
                  <c:v>0.91407099999999997</c:v>
                </c:pt>
                <c:pt idx="4">
                  <c:v>0.99665899999999996</c:v>
                </c:pt>
                <c:pt idx="5">
                  <c:v>1.045051</c:v>
                </c:pt>
                <c:pt idx="6">
                  <c:v>1.197109</c:v>
                </c:pt>
                <c:pt idx="7">
                  <c:v>1.292899</c:v>
                </c:pt>
                <c:pt idx="8">
                  <c:v>1.3929009999999999</c:v>
                </c:pt>
                <c:pt idx="9">
                  <c:v>1.690221</c:v>
                </c:pt>
                <c:pt idx="10">
                  <c:v>1.73343351</c:v>
                </c:pt>
                <c:pt idx="11">
                  <c:v>2.3048284899999998</c:v>
                </c:pt>
                <c:pt idx="12">
                  <c:v>2.7184211399999998</c:v>
                </c:pt>
                <c:pt idx="13">
                  <c:v>3.0676598240000001</c:v>
                </c:pt>
                <c:pt idx="14">
                  <c:v>3.8197322439999999</c:v>
                </c:pt>
                <c:pt idx="15">
                  <c:v>4</c:v>
                </c:pt>
                <c:pt idx="16">
                  <c:v>4.2664999999999997</c:v>
                </c:pt>
                <c:pt idx="17">
                  <c:v>4.4196</c:v>
                </c:pt>
                <c:pt idx="18">
                  <c:v>4.5917000000000003</c:v>
                </c:pt>
                <c:pt idx="19">
                  <c:v>4.7510000000000003</c:v>
                </c:pt>
                <c:pt idx="20">
                  <c:v>4.9225000000000003</c:v>
                </c:pt>
                <c:pt idx="21">
                  <c:v>5.1106999999999996</c:v>
                </c:pt>
                <c:pt idx="22">
                  <c:v>5.3038999999999996</c:v>
                </c:pt>
                <c:pt idx="23">
                  <c:v>5.5255000000000001</c:v>
                </c:pt>
                <c:pt idx="24">
                  <c:v>5.7231999999999994</c:v>
                </c:pt>
                <c:pt idx="25">
                  <c:v>5.8319999999999999</c:v>
                </c:pt>
                <c:pt idx="28">
                  <c:v>4.0808470000000003</c:v>
                </c:pt>
                <c:pt idx="29">
                  <c:v>4.2593430000000003</c:v>
                </c:pt>
                <c:pt idx="30">
                  <c:v>4.3227640000000003</c:v>
                </c:pt>
                <c:pt idx="31">
                  <c:v>4.5837709999999996</c:v>
                </c:pt>
                <c:pt idx="32">
                  <c:v>4.6054350000000008</c:v>
                </c:pt>
                <c:pt idx="33">
                  <c:v>4.6838660000000001</c:v>
                </c:pt>
                <c:pt idx="34">
                  <c:v>4.7944179999999994</c:v>
                </c:pt>
                <c:pt idx="35">
                  <c:v>5.034624</c:v>
                </c:pt>
                <c:pt idx="36">
                  <c:v>4.9954770000000002</c:v>
                </c:pt>
                <c:pt idx="37">
                  <c:v>5.0997079999999997</c:v>
                </c:pt>
                <c:pt idx="38">
                  <c:v>5.3746210000000003</c:v>
                </c:pt>
                <c:pt idx="39">
                  <c:v>5.7014399999999998</c:v>
                </c:pt>
                <c:pt idx="40">
                  <c:v>5.8137999999999996</c:v>
                </c:pt>
                <c:pt idx="41">
                  <c:v>6.1017250000000001</c:v>
                </c:pt>
                <c:pt idx="42">
                  <c:v>6.2</c:v>
                </c:pt>
                <c:pt idx="43">
                  <c:v>6.2249999999999996</c:v>
                </c:pt>
                <c:pt idx="44">
                  <c:v>6.25</c:v>
                </c:pt>
                <c:pt idx="45">
                  <c:v>6.2750000000000004</c:v>
                </c:pt>
                <c:pt idx="46">
                  <c:v>6.3</c:v>
                </c:pt>
                <c:pt idx="47">
                  <c:v>6.3250000000000002</c:v>
                </c:pt>
                <c:pt idx="48">
                  <c:v>6.35</c:v>
                </c:pt>
                <c:pt idx="49">
                  <c:v>6.375</c:v>
                </c:pt>
                <c:pt idx="50">
                  <c:v>6.4</c:v>
                </c:pt>
                <c:pt idx="51">
                  <c:v>6.4249999999999998</c:v>
                </c:pt>
                <c:pt idx="52">
                  <c:v>6.45</c:v>
                </c:pt>
                <c:pt idx="55">
                  <c:v>4.8693469999999994</c:v>
                </c:pt>
                <c:pt idx="56">
                  <c:v>5.1236189999999997</c:v>
                </c:pt>
                <c:pt idx="57">
                  <c:v>5.2368350000000001</c:v>
                </c:pt>
                <c:pt idx="58">
                  <c:v>5.5804300000000007</c:v>
                </c:pt>
                <c:pt idx="59">
                  <c:v>5.6504859999999999</c:v>
                </c:pt>
                <c:pt idx="60">
                  <c:v>5.8809750000000003</c:v>
                </c:pt>
                <c:pt idx="61">
                  <c:v>6.0873169999999996</c:v>
                </c:pt>
                <c:pt idx="62">
                  <c:v>6.4275249999999993</c:v>
                </c:pt>
                <c:pt idx="63">
                  <c:v>6.6856980000000004</c:v>
                </c:pt>
                <c:pt idx="64">
                  <c:v>6.8331415100000008</c:v>
                </c:pt>
                <c:pt idx="65">
                  <c:v>7.6794494899999997</c:v>
                </c:pt>
                <c:pt idx="66">
                  <c:v>8.4198611400000001</c:v>
                </c:pt>
                <c:pt idx="67">
                  <c:v>8.8814598240000002</c:v>
                </c:pt>
                <c:pt idx="68">
                  <c:v>9.9214572440000008</c:v>
                </c:pt>
                <c:pt idx="69">
                  <c:v>10.199999999999999</c:v>
                </c:pt>
                <c:pt idx="70">
                  <c:v>10.4915</c:v>
                </c:pt>
                <c:pt idx="71">
                  <c:v>10.669600000000001</c:v>
                </c:pt>
                <c:pt idx="72">
                  <c:v>10.8667</c:v>
                </c:pt>
                <c:pt idx="73">
                  <c:v>11.051</c:v>
                </c:pt>
                <c:pt idx="74">
                  <c:v>11.2475</c:v>
                </c:pt>
                <c:pt idx="75">
                  <c:v>11.460699999999999</c:v>
                </c:pt>
                <c:pt idx="76">
                  <c:v>11.678900000000001</c:v>
                </c:pt>
                <c:pt idx="77">
                  <c:v>11.9255</c:v>
                </c:pt>
                <c:pt idx="78">
                  <c:v>12.148199999999999</c:v>
                </c:pt>
                <c:pt idx="79">
                  <c:v>12.282</c:v>
                </c:pt>
              </c:numCache>
            </c:numRef>
          </c:val>
          <c:smooth val="0"/>
        </c:ser>
        <c:dLbls>
          <c:showLegendKey val="0"/>
          <c:showVal val="0"/>
          <c:showCatName val="0"/>
          <c:showSerName val="0"/>
          <c:showPercent val="0"/>
          <c:showBubbleSize val="0"/>
        </c:dLbls>
        <c:marker val="1"/>
        <c:smooth val="0"/>
        <c:axId val="510200448"/>
        <c:axId val="510243200"/>
      </c:lineChart>
      <c:catAx>
        <c:axId val="510200448"/>
        <c:scaling>
          <c:orientation val="minMax"/>
        </c:scaling>
        <c:delete val="0"/>
        <c:axPos val="b"/>
        <c:majorGridlines>
          <c:spPr>
            <a:ln w="9525" cmpd="sng">
              <a:solidFill>
                <a:srgbClr val="FFFFFF"/>
              </a:solidFill>
              <a:prstDash val="solid"/>
            </a:ln>
          </c:spPr>
        </c:majorGridlines>
        <c:majorTickMark val="none"/>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5400000" vert="horz"/>
          <a:lstStyle/>
          <a:p>
            <a:pPr>
              <a:defRPr sz="750" b="0" i="0">
                <a:solidFill>
                  <a:srgbClr val="000000"/>
                </a:solidFill>
                <a:latin typeface="Arial Narrow"/>
                <a:ea typeface="Arial Narrow"/>
                <a:cs typeface="Arial Narrow"/>
              </a:defRPr>
            </a:pPr>
            <a:endParaRPr lang="en-US"/>
          </a:p>
        </c:txPr>
        <c:crossAx val="510243200"/>
        <c:crosses val="autoZero"/>
        <c:auto val="1"/>
        <c:lblAlgn val="ctr"/>
        <c:lblOffset val="0"/>
        <c:tickLblSkip val="1"/>
        <c:noMultiLvlLbl val="0"/>
      </c:catAx>
      <c:valAx>
        <c:axId val="510243200"/>
        <c:scaling>
          <c:orientation val="minMax"/>
          <c:max val="14"/>
          <c:min val="0"/>
        </c:scaling>
        <c:delete val="0"/>
        <c:axPos val="l"/>
        <c:majorGridlines>
          <c:spPr>
            <a:ln w="9525" cmpd="sng">
              <a:solidFill>
                <a:srgbClr val="FFFFFF"/>
              </a:solidFill>
              <a:prstDash val="solid"/>
            </a:ln>
          </c:spPr>
        </c:majorGridlines>
        <c:title>
          <c:tx>
            <c:rich>
              <a:bodyPr rot="0" vert="horz"/>
              <a:lstStyle/>
              <a:p>
                <a:pPr>
                  <a:defRPr sz="750" b="0" i="0">
                    <a:solidFill>
                      <a:srgbClr val="000000"/>
                    </a:solidFill>
                    <a:latin typeface="Arial Narrow"/>
                  </a:defRPr>
                </a:pPr>
                <a:r>
                  <a:rPr lang="en-GB" sz="750" b="0" i="0">
                    <a:solidFill>
                      <a:srgbClr val="000000"/>
                    </a:solidFill>
                    <a:latin typeface="Arial Narrow"/>
                  </a:rPr>
                  <a:t>Mt</a:t>
                </a:r>
              </a:p>
            </c:rich>
          </c:tx>
          <c:layout>
            <c:manualLayout>
              <c:xMode val="edge"/>
              <c:yMode val="edge"/>
              <c:x val="1.0813154670784701E-2"/>
              <c:y val="3.9841606087295499E-2"/>
            </c:manualLayout>
          </c:layout>
          <c:overlay val="0"/>
        </c:title>
        <c:numFmt formatCode="General" sourceLinked="1"/>
        <c:majorTickMark val="in"/>
        <c:minorTickMark val="none"/>
        <c:tickLblPos val="nextTo"/>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a:solidFill>
                  <a:srgbClr val="000000"/>
                </a:solidFill>
                <a:latin typeface="Arial Narrow"/>
                <a:ea typeface="Arial Narrow"/>
                <a:cs typeface="Arial Narrow"/>
              </a:defRPr>
            </a:pPr>
            <a:endParaRPr lang="en-US"/>
          </a:p>
        </c:txPr>
        <c:crossAx val="510200448"/>
        <c:crosses val="autoZero"/>
        <c:crossBetween val="between"/>
      </c:valAx>
      <c:valAx>
        <c:axId val="510245120"/>
        <c:scaling>
          <c:orientation val="minMax"/>
          <c:max val="7"/>
          <c:min val="0"/>
        </c:scaling>
        <c:delete val="0"/>
        <c:axPos val="r"/>
        <c:numFmt formatCode="General" sourceLinked="1"/>
        <c:majorTickMark val="none"/>
        <c:minorTickMark val="none"/>
        <c:tickLblPos val="none"/>
        <c:crossAx val="510246912"/>
        <c:crosses val="max"/>
        <c:crossBetween val="between"/>
      </c:valAx>
      <c:catAx>
        <c:axId val="510246912"/>
        <c:scaling>
          <c:orientation val="minMax"/>
        </c:scaling>
        <c:delete val="1"/>
        <c:axPos val="b"/>
        <c:majorTickMark val="out"/>
        <c:minorTickMark val="none"/>
        <c:tickLblPos val="nextTo"/>
        <c:crossAx val="510245120"/>
        <c:crosses val="autoZero"/>
        <c:auto val="1"/>
        <c:lblAlgn val="ctr"/>
        <c:lblOffset val="100"/>
        <c:noMultiLvlLbl val="0"/>
      </c:catAx>
      <c:spPr>
        <a:solidFill>
          <a:srgbClr val="F4FFFF"/>
        </a:solidFill>
        <a:ln w="9525">
          <a:solidFill>
            <a:srgbClr val="000000"/>
          </a:solidFill>
        </a:ln>
      </c:spPr>
    </c:plotArea>
    <c:plotVisOnly val="1"/>
    <c:dispBlanksAs val="gap"/>
    <c:showDLblsOverMax val="1"/>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xMode val="edge"/>
          <c:yMode val="edge"/>
          <c:x val="8.7445796086387494E-3"/>
          <c:y val="0.15342446244757282"/>
          <c:w val="0.98906927548920154"/>
          <c:h val="0.84292394334402809"/>
        </c:manualLayout>
      </c:layout>
      <c:barChart>
        <c:barDir val="col"/>
        <c:grouping val="stacked"/>
        <c:varyColors val="0"/>
        <c:ser>
          <c:idx val="0"/>
          <c:order val="0"/>
          <c:tx>
            <c:strRef>
              <c:f>'Figure 8'!$A$20</c:f>
              <c:strCache>
                <c:ptCount val="1"/>
                <c:pt idx="0">
                  <c:v>Fuel Tax Concessions</c:v>
                </c:pt>
              </c:strCache>
            </c:strRef>
          </c:tx>
          <c:spPr>
            <a:solidFill>
              <a:srgbClr val="4F81BD"/>
            </a:solidFill>
            <a:ln w="6350" cmpd="sng">
              <a:solidFill>
                <a:srgbClr val="000000"/>
              </a:solidFill>
              <a:round/>
            </a:ln>
            <a:effectLst/>
          </c:spPr>
          <c:invertIfNegative val="0"/>
          <c:cat>
            <c:numLit>
              <c:formatCode>General</c:formatCode>
              <c:ptCount val="2"/>
              <c:pt idx="0">
                <c:v>2014</c:v>
              </c:pt>
              <c:pt idx="1">
                <c:v>2015</c:v>
              </c:pt>
            </c:numLit>
          </c:cat>
          <c:val>
            <c:numRef>
              <c:f>'Figure 8'!$B$20:$C$20</c:f>
              <c:numCache>
                <c:formatCode>0</c:formatCode>
                <c:ptCount val="2"/>
                <c:pt idx="0">
                  <c:v>510</c:v>
                </c:pt>
                <c:pt idx="1">
                  <c:v>510</c:v>
                </c:pt>
              </c:numCache>
            </c:numRef>
          </c:val>
        </c:ser>
        <c:ser>
          <c:idx val="1"/>
          <c:order val="1"/>
          <c:tx>
            <c:strRef>
              <c:f>'Figure 8'!$A$21</c:f>
              <c:strCache>
                <c:ptCount val="1"/>
                <c:pt idx="0">
                  <c:v>Equipment &amp; Input</c:v>
                </c:pt>
              </c:strCache>
            </c:strRef>
          </c:tx>
          <c:spPr>
            <a:solidFill>
              <a:srgbClr val="CCCCCC"/>
            </a:solidFill>
            <a:ln w="6350" cmpd="sng">
              <a:solidFill>
                <a:srgbClr val="000000"/>
              </a:solidFill>
              <a:round/>
            </a:ln>
            <a:effectLst/>
          </c:spPr>
          <c:invertIfNegative val="0"/>
          <c:cat>
            <c:numLit>
              <c:formatCode>General</c:formatCode>
              <c:ptCount val="2"/>
              <c:pt idx="0">
                <c:v>2014</c:v>
              </c:pt>
              <c:pt idx="1">
                <c:v>2015</c:v>
              </c:pt>
            </c:numLit>
          </c:cat>
          <c:val>
            <c:numRef>
              <c:f>'Figure 8'!$B$21:$C$21</c:f>
              <c:numCache>
                <c:formatCode>0</c:formatCode>
                <c:ptCount val="2"/>
                <c:pt idx="0">
                  <c:v>366.74899999999997</c:v>
                </c:pt>
                <c:pt idx="1">
                  <c:v>255.55199999999999</c:v>
                </c:pt>
              </c:numCache>
            </c:numRef>
          </c:val>
        </c:ser>
        <c:ser>
          <c:idx val="3"/>
          <c:order val="2"/>
          <c:tx>
            <c:strRef>
              <c:f>'Figure 8'!$A$22</c:f>
              <c:strCache>
                <c:ptCount val="1"/>
                <c:pt idx="0">
                  <c:v>Infrastructure</c:v>
                </c:pt>
              </c:strCache>
            </c:strRef>
          </c:tx>
          <c:spPr>
            <a:solidFill>
              <a:srgbClr val="A7B9E3"/>
            </a:solidFill>
            <a:ln w="6350" cmpd="sng">
              <a:solidFill>
                <a:srgbClr val="000000"/>
              </a:solidFill>
              <a:round/>
            </a:ln>
            <a:effectLst/>
          </c:spPr>
          <c:invertIfNegative val="0"/>
          <c:cat>
            <c:numLit>
              <c:formatCode>General</c:formatCode>
              <c:ptCount val="2"/>
              <c:pt idx="0">
                <c:v>2014</c:v>
              </c:pt>
              <c:pt idx="1">
                <c:v>2015</c:v>
              </c:pt>
            </c:numLit>
          </c:cat>
          <c:val>
            <c:numRef>
              <c:f>'Figure 8'!$B$22:$C$22</c:f>
              <c:numCache>
                <c:formatCode>0</c:formatCode>
                <c:ptCount val="2"/>
                <c:pt idx="0">
                  <c:v>92.793000000000006</c:v>
                </c:pt>
                <c:pt idx="1">
                  <c:v>76.268000000000001</c:v>
                </c:pt>
              </c:numCache>
            </c:numRef>
          </c:val>
        </c:ser>
        <c:ser>
          <c:idx val="5"/>
          <c:order val="3"/>
          <c:tx>
            <c:strRef>
              <c:f>'Figure 8'!$A$23</c:f>
              <c:strCache>
                <c:ptCount val="1"/>
                <c:pt idx="0">
                  <c:v>Research &amp; Development</c:v>
                </c:pt>
              </c:strCache>
            </c:strRef>
          </c:tx>
          <c:spPr>
            <a:pattFill prst="openDmnd">
              <a:fgClr>
                <a:srgbClr val="000000"/>
              </a:fgClr>
              <a:bgClr>
                <a:srgbClr val="FFFFFF"/>
              </a:bgClr>
            </a:pattFill>
            <a:ln w="6350" cmpd="sng">
              <a:solidFill>
                <a:srgbClr val="000000"/>
              </a:solidFill>
              <a:round/>
            </a:ln>
            <a:effectLst/>
          </c:spPr>
          <c:invertIfNegative val="0"/>
          <c:cat>
            <c:numLit>
              <c:formatCode>General</c:formatCode>
              <c:ptCount val="2"/>
              <c:pt idx="0">
                <c:v>2014</c:v>
              </c:pt>
              <c:pt idx="1">
                <c:v>2015</c:v>
              </c:pt>
            </c:numLit>
          </c:cat>
          <c:val>
            <c:numRef>
              <c:f>'Figure 8'!$B$23:$C$23</c:f>
              <c:numCache>
                <c:formatCode>0</c:formatCode>
                <c:ptCount val="2"/>
                <c:pt idx="0">
                  <c:v>50.663601</c:v>
                </c:pt>
                <c:pt idx="1">
                  <c:v>29.977523000000001</c:v>
                </c:pt>
              </c:numCache>
            </c:numRef>
          </c:val>
        </c:ser>
        <c:ser>
          <c:idx val="6"/>
          <c:order val="4"/>
          <c:tx>
            <c:strRef>
              <c:f>'Figure 8'!$A$24</c:f>
              <c:strCache>
                <c:ptCount val="1"/>
                <c:pt idx="0">
                  <c:v>Control &amp; Certification</c:v>
                </c:pt>
              </c:strCache>
            </c:strRef>
          </c:tx>
          <c:spPr>
            <a:solidFill>
              <a:srgbClr val="EDF0F7"/>
            </a:solidFill>
            <a:ln w="6350" cmpd="sng">
              <a:solidFill>
                <a:srgbClr val="000000"/>
              </a:solidFill>
              <a:round/>
            </a:ln>
            <a:effectLst/>
          </c:spPr>
          <c:invertIfNegative val="0"/>
          <c:cat>
            <c:numLit>
              <c:formatCode>General</c:formatCode>
              <c:ptCount val="2"/>
              <c:pt idx="0">
                <c:v>2014</c:v>
              </c:pt>
              <c:pt idx="1">
                <c:v>2015</c:v>
              </c:pt>
            </c:numLit>
          </c:cat>
          <c:val>
            <c:numRef>
              <c:f>'Figure 8'!$B$24:$C$24</c:f>
              <c:numCache>
                <c:formatCode>0</c:formatCode>
                <c:ptCount val="2"/>
                <c:pt idx="0">
                  <c:v>16.643999999999998</c:v>
                </c:pt>
                <c:pt idx="1">
                  <c:v>12.2</c:v>
                </c:pt>
              </c:numCache>
            </c:numRef>
          </c:val>
        </c:ser>
        <c:dLbls>
          <c:showLegendKey val="0"/>
          <c:showVal val="0"/>
          <c:showCatName val="0"/>
          <c:showSerName val="0"/>
          <c:showPercent val="0"/>
          <c:showBubbleSize val="0"/>
        </c:dLbls>
        <c:gapWidth val="150"/>
        <c:overlap val="100"/>
        <c:axId val="510351616"/>
        <c:axId val="510382080"/>
      </c:barChart>
      <c:catAx>
        <c:axId val="510351616"/>
        <c:scaling>
          <c:orientation val="minMax"/>
        </c:scaling>
        <c:delete val="0"/>
        <c:axPos val="b"/>
        <c:majorGridlines>
          <c:spPr>
            <a:ln w="9525" cmpd="sng">
              <a:solidFill>
                <a:srgbClr val="FFFFFF"/>
              </a:solidFill>
              <a:prstDash val="solid"/>
            </a:ln>
          </c:spPr>
        </c:majorGridlines>
        <c:numFmt formatCode="General" sourceLinked="1"/>
        <c:majorTickMark val="in"/>
        <c:minorTickMark val="none"/>
        <c:tickLblPos val="low"/>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a:solidFill>
                  <a:srgbClr val="000000"/>
                </a:solidFill>
                <a:latin typeface="Arial Narrow"/>
                <a:ea typeface="Arial Narrow"/>
                <a:cs typeface="Arial Narrow"/>
              </a:defRPr>
            </a:pPr>
            <a:endParaRPr lang="en-US"/>
          </a:p>
        </c:txPr>
        <c:crossAx val="510382080"/>
        <c:crosses val="autoZero"/>
        <c:auto val="1"/>
        <c:lblAlgn val="ctr"/>
        <c:lblOffset val="0"/>
        <c:tickLblSkip val="1"/>
        <c:noMultiLvlLbl val="0"/>
      </c:catAx>
      <c:valAx>
        <c:axId val="510382080"/>
        <c:scaling>
          <c:orientation val="minMax"/>
          <c:max val="1200"/>
        </c:scaling>
        <c:delete val="0"/>
        <c:axPos val="l"/>
        <c:majorGridlines>
          <c:spPr>
            <a:ln w="9525" cmpd="sng">
              <a:solidFill>
                <a:srgbClr val="FFFFFF"/>
              </a:solidFill>
              <a:prstDash val="solid"/>
            </a:ln>
          </c:spPr>
        </c:majorGridlines>
        <c:title>
          <c:tx>
            <c:rich>
              <a:bodyPr rot="0" vert="horz"/>
              <a:lstStyle/>
              <a:p>
                <a:pPr>
                  <a:defRPr sz="750" b="0" i="0">
                    <a:solidFill>
                      <a:srgbClr val="000000"/>
                    </a:solidFill>
                    <a:latin typeface="Arial Narrow"/>
                  </a:defRPr>
                </a:pPr>
                <a:r>
                  <a:rPr lang="en-GB" sz="750" b="0" i="0">
                    <a:solidFill>
                      <a:srgbClr val="000000"/>
                    </a:solidFill>
                    <a:latin typeface="Arial Narrow"/>
                  </a:rPr>
                  <a:t>Billions</a:t>
                </a:r>
                <a:r>
                  <a:rPr lang="en-GB" sz="750" b="0" i="0" baseline="0">
                    <a:solidFill>
                      <a:srgbClr val="000000"/>
                    </a:solidFill>
                    <a:latin typeface="Arial Narrow"/>
                  </a:rPr>
                  <a:t> of rupiah</a:t>
                </a:r>
                <a:endParaRPr lang="en-GB" sz="750" b="0" i="0">
                  <a:solidFill>
                    <a:srgbClr val="000000"/>
                  </a:solidFill>
                  <a:latin typeface="Arial Narrow"/>
                </a:endParaRPr>
              </a:p>
            </c:rich>
          </c:tx>
          <c:layout>
            <c:manualLayout>
              <c:xMode val="edge"/>
              <c:yMode val="edge"/>
              <c:x val="8.7445796086387494E-3"/>
              <c:y val="0.10954782625197208"/>
            </c:manualLayout>
          </c:layout>
          <c:overlay val="0"/>
        </c:title>
        <c:numFmt formatCode="General" sourceLinked="0"/>
        <c:majorTickMark val="in"/>
        <c:minorTickMark val="none"/>
        <c:tickLblPos val="nextTo"/>
        <c:spPr>
          <a:noFill/>
          <a:ln w="9525">
            <a:solidFill>
              <a:srgbClr val="000000"/>
            </a:solidFill>
            <a:prstDash val="solid"/>
          </a:ln>
          <a:extLst>
            <a:ext uri="{909E8E84-426E-40DD-AFC4-6F175D3DCCD1}">
              <a14:hiddenFill xmlns:a14="http://schemas.microsoft.com/office/drawing/2010/main">
                <a:noFill/>
              </a14:hiddenFill>
            </a:ext>
          </a:extLst>
        </c:spPr>
        <c:txPr>
          <a:bodyPr rot="-60000000" vert="horz"/>
          <a:lstStyle/>
          <a:p>
            <a:pPr>
              <a:defRPr sz="750" b="0" i="0">
                <a:solidFill>
                  <a:srgbClr val="000000"/>
                </a:solidFill>
                <a:latin typeface="Arial Narrow"/>
                <a:ea typeface="Arial Narrow"/>
                <a:cs typeface="Arial Narrow"/>
              </a:defRPr>
            </a:pPr>
            <a:endParaRPr lang="en-US"/>
          </a:p>
        </c:txPr>
        <c:crossAx val="510351616"/>
        <c:crosses val="autoZero"/>
        <c:crossBetween val="between"/>
      </c:valAx>
      <c:spPr>
        <a:solidFill>
          <a:srgbClr val="F4FFFF"/>
        </a:solidFill>
        <a:ln w="9525">
          <a:solidFill>
            <a:srgbClr val="000000"/>
          </a:solidFill>
        </a:ln>
      </c:spPr>
    </c:plotArea>
    <c:plotVisOnly val="1"/>
    <c:dispBlanksAs val="gap"/>
    <c:showDLblsOverMax val="1"/>
  </c:chart>
  <c:spPr>
    <a:noFill/>
    <a:ln w="9525" cap="flat" cmpd="sng" algn="ctr">
      <a:noFill/>
      <a:prstDash val="solid"/>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 lastClr="FFFFFF">
              <a:lumMod val="85000"/>
            </a:sysClr>
          </a:solidFill>
          <a:prstDash val="solid"/>
          <a:round/>
        </a14:hiddenLine>
      </a:ext>
    </a:extLst>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0.19421</cdr:x>
      <cdr:y>0.38114</cdr:y>
    </cdr:from>
    <cdr:to>
      <cdr:x>0.38044</cdr:x>
      <cdr:y>0.62053</cdr:y>
    </cdr:to>
    <cdr:sp macro="" textlink="">
      <cdr:nvSpPr>
        <cdr:cNvPr id="607" name="TextBox 606"/>
        <cdr:cNvSpPr txBox="1"/>
      </cdr:nvSpPr>
      <cdr:spPr>
        <a:xfrm xmlns:a="http://schemas.openxmlformats.org/drawingml/2006/main">
          <a:off x="1082675" y="1440724"/>
          <a:ext cx="1038225" cy="904875"/>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rtlCol="0" anchor="ctr"/>
        <a:lstStyle xmlns:a="http://schemas.openxmlformats.org/drawingml/2006/main"/>
        <a:p xmlns:a="http://schemas.openxmlformats.org/drawingml/2006/main">
          <a:pPr algn="ctr"/>
          <a:fld id="{59D9A7AF-3830-412A-BB2B-9BFC16C44A2E}" type="TxLink">
            <a:rPr lang="en-US" sz="750" b="0" i="0" u="none" strike="noStrike">
              <a:solidFill>
                <a:srgbClr val="000000"/>
              </a:solidFill>
              <a:latin typeface="Arial Narrow"/>
              <a:cs typeface="Arial"/>
            </a:rPr>
            <a:pPr algn="ctr"/>
            <a:t>35%</a:t>
          </a:fld>
          <a:endParaRPr lang="en-GB" sz="750" b="0" i="0">
            <a:solidFill>
              <a:srgbClr val="000000"/>
            </a:solidFill>
            <a:latin typeface="Arial Narrow"/>
          </a:endParaRPr>
        </a:p>
      </cdr:txBody>
    </cdr:sp>
  </cdr:relSizeAnchor>
  <cdr:relSizeAnchor xmlns:cdr="http://schemas.openxmlformats.org/drawingml/2006/chartDrawing">
    <cdr:from>
      <cdr:x>0.66748</cdr:x>
      <cdr:y>0.45422</cdr:y>
    </cdr:from>
    <cdr:to>
      <cdr:x>0.85201</cdr:x>
      <cdr:y>0.62053</cdr:y>
    </cdr:to>
    <cdr:sp macro="" textlink="">
      <cdr:nvSpPr>
        <cdr:cNvPr id="608" name="TextBox 607"/>
        <cdr:cNvSpPr txBox="1"/>
      </cdr:nvSpPr>
      <cdr:spPr>
        <a:xfrm xmlns:a="http://schemas.openxmlformats.org/drawingml/2006/main">
          <a:off x="3721100" y="1716950"/>
          <a:ext cx="1028700" cy="628649"/>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fld id="{83C8C164-C926-4F9F-AF63-414F5EF6349F}" type="TxLink">
            <a:rPr lang="en-US" sz="750" b="0" i="0" u="none" strike="noStrike">
              <a:solidFill>
                <a:srgbClr val="000000"/>
              </a:solidFill>
              <a:latin typeface="Arial Narrow"/>
              <a:cs typeface="Arial"/>
            </a:rPr>
            <a:pPr algn="ctr"/>
            <a:t>29%</a:t>
          </a:fld>
          <a:endParaRPr lang="en-GB" sz="750" b="0" i="0">
            <a:solidFill>
              <a:srgbClr val="000000"/>
            </a:solidFill>
            <a:latin typeface="Arial Narrow"/>
          </a:endParaRPr>
        </a:p>
      </cdr:txBody>
    </cdr:sp>
  </cdr:relSizeAnchor>
  <cdr:relSizeAnchor xmlns:cdr="http://schemas.openxmlformats.org/drawingml/2006/chartDrawing">
    <cdr:from>
      <cdr:x>0.19421</cdr:x>
      <cdr:y>0.31563</cdr:y>
    </cdr:from>
    <cdr:to>
      <cdr:x>0.38215</cdr:x>
      <cdr:y>0.3761</cdr:y>
    </cdr:to>
    <cdr:sp macro="" textlink="">
      <cdr:nvSpPr>
        <cdr:cNvPr id="609" name="TextBox 608"/>
        <cdr:cNvSpPr txBox="1"/>
      </cdr:nvSpPr>
      <cdr:spPr>
        <a:xfrm xmlns:a="http://schemas.openxmlformats.org/drawingml/2006/main">
          <a:off x="1082675" y="1193075"/>
          <a:ext cx="1047750" cy="228599"/>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fld id="{FE462CF8-4961-4A52-8FD1-4341F1341609}" type="TxLink">
            <a:rPr lang="en-US" sz="750" b="0" i="0" u="none" strike="noStrike">
              <a:solidFill>
                <a:srgbClr val="000000"/>
              </a:solidFill>
              <a:latin typeface="Arial Narrow"/>
              <a:cs typeface="Arial"/>
            </a:rPr>
            <a:pPr algn="ctr"/>
            <a:t>9%</a:t>
          </a:fld>
          <a:endParaRPr lang="en-GB" sz="750" b="0" i="0">
            <a:solidFill>
              <a:srgbClr val="000000"/>
            </a:solidFill>
            <a:latin typeface="Arial Narrow"/>
          </a:endParaRPr>
        </a:p>
      </cdr:txBody>
    </cdr:sp>
  </cdr:relSizeAnchor>
  <cdr:relSizeAnchor xmlns:cdr="http://schemas.openxmlformats.org/drawingml/2006/chartDrawing">
    <cdr:from>
      <cdr:x>0.66748</cdr:x>
      <cdr:y>0.4013</cdr:y>
    </cdr:from>
    <cdr:to>
      <cdr:x>0.85543</cdr:x>
      <cdr:y>0.44918</cdr:y>
    </cdr:to>
    <cdr:sp macro="" textlink="">
      <cdr:nvSpPr>
        <cdr:cNvPr id="610" name="TextBox 609"/>
        <cdr:cNvSpPr txBox="1"/>
      </cdr:nvSpPr>
      <cdr:spPr>
        <a:xfrm xmlns:a="http://schemas.openxmlformats.org/drawingml/2006/main">
          <a:off x="3721100" y="1516925"/>
          <a:ext cx="1047750" cy="18097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fld id="{9E0DFB4B-C1FC-43D3-8FAC-9AA0AF3F7C46}" type="TxLink">
            <a:rPr lang="en-US" sz="750" b="0" i="0" u="none" strike="noStrike">
              <a:solidFill>
                <a:srgbClr val="000000"/>
              </a:solidFill>
              <a:latin typeface="Arial Narrow"/>
              <a:cs typeface="Arial"/>
            </a:rPr>
            <a:pPr algn="ctr"/>
            <a:t>9%</a:t>
          </a:fld>
          <a:endParaRPr lang="en-GB" sz="750" b="0" i="0">
            <a:solidFill>
              <a:srgbClr val="000000"/>
            </a:solidFill>
            <a:latin typeface="Arial Narrow"/>
          </a:endParaRPr>
        </a:p>
      </cdr:txBody>
    </cdr:sp>
  </cdr:relSizeAnchor>
  <cdr:relSizeAnchor xmlns:cdr="http://schemas.openxmlformats.org/drawingml/2006/chartDrawing">
    <cdr:from>
      <cdr:x>0.05625</cdr:x>
      <cdr:y>0.01461</cdr:y>
    </cdr:from>
    <cdr:to>
      <cdr:x>0.99781</cdr:x>
      <cdr:y>0.10167</cdr:y>
    </cdr:to>
    <cdr:grpSp>
      <cdr:nvGrpSpPr>
        <cdr:cNvPr id="61" name="xlamLegendGroup2"/>
        <cdr:cNvGrpSpPr/>
      </cdr:nvGrpSpPr>
      <cdr:grpSpPr>
        <a:xfrm xmlns:a="http://schemas.openxmlformats.org/drawingml/2006/main">
          <a:off x="311566" y="50577"/>
          <a:ext cx="5215253" cy="301386"/>
          <a:chOff x="0" y="0"/>
          <a:chExt cx="5469811" cy="302800"/>
        </a:xfrm>
      </cdr:grpSpPr>
      <cdr:sp macro="" textlink="">
        <cdr:nvSpPr>
          <cdr:cNvPr id="62" name="xlamLegend2"/>
          <cdr:cNvSpPr/>
        </cdr:nvSpPr>
        <cdr:spPr>
          <a:xfrm xmlns:a="http://schemas.openxmlformats.org/drawingml/2006/main">
            <a:off x="0" y="0"/>
            <a:ext cx="5469811" cy="302800"/>
          </a:xfrm>
          <a:prstGeom xmlns:a="http://schemas.openxmlformats.org/drawingml/2006/main" prst="rect">
            <a:avLst/>
          </a:prstGeom>
          <a:solidFill xmlns:a="http://schemas.openxmlformats.org/drawingml/2006/main">
            <a:srgbClr val="EAEAEA"/>
          </a:solidFill>
          <a:ln xmlns:a="http://schemas.openxmlformats.org/drawingml/2006/main" w="0" cap="flat" cmpd="sng" algn="ctr">
            <a:noFill/>
            <a:prstDash val="solid"/>
          </a:ln>
          <a:effectLst xmlns:a="http://schemas.openxmlformats.org/drawingml/2006/main"/>
          <a:extLst xmlns:a="http://schemas.openxmlformats.org/drawingml/2006/main">
            <a:ext uri="{91240B29-F687-4F45-9708-019B960494DF}">
              <a14:hiddenLine xmlns:a14="http://schemas.microsoft.com/office/drawing/2010/main" w="0" cap="flat" cmpd="sng" algn="ctr">
                <a:solidFill>
                  <a:schemeClr val="accent1">
                    <a:shade val="50000"/>
                  </a:schemeClr>
                </a:solidFill>
                <a:prstDash val="solid"/>
              </a14:hiddenLine>
            </a:ext>
          </a:extLst>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GB" sz="1100"/>
          </a:p>
        </cdr:txBody>
      </cdr:sp>
      <cdr:grpSp>
        <cdr:nvGrpSpPr>
          <cdr:cNvPr id="63" name="xlamLegendEntry12"/>
          <cdr:cNvGrpSpPr/>
        </cdr:nvGrpSpPr>
        <cdr:grpSpPr>
          <a:xfrm xmlns:a="http://schemas.openxmlformats.org/drawingml/2006/main">
            <a:off x="434001" y="43400"/>
            <a:ext cx="996147" cy="110418"/>
            <a:chOff x="434000" y="43400"/>
            <a:chExt cx="996150" cy="110415"/>
          </a:xfrm>
        </cdr:grpSpPr>
        <cdr:sp macro="" textlink="">
          <cdr:nvSpPr>
            <cdr:cNvPr id="76" name="xlamLegendSymbol12"/>
            <cdr:cNvSpPr/>
          </cdr:nvSpPr>
          <cdr:spPr>
            <a:xfrm xmlns:a="http://schemas.openxmlformats.org/drawingml/2006/main">
              <a:off x="434000" y="61400"/>
              <a:ext cx="144000" cy="72000"/>
            </a:xfrm>
            <a:prstGeom xmlns:a="http://schemas.openxmlformats.org/drawingml/2006/main" prst="rect">
              <a:avLst/>
            </a:prstGeom>
            <a:solidFill xmlns:a="http://schemas.openxmlformats.org/drawingml/2006/main">
              <a:srgbClr val="4F81BD"/>
            </a:solid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GB" sz="1100"/>
            </a:p>
          </cdr:txBody>
        </cdr:sp>
        <cdr:sp macro="" textlink="">
          <cdr:nvSpPr>
            <cdr:cNvPr id="77" name="xlamLegendText12"/>
            <cdr:cNvSpPr txBox="1"/>
          </cdr:nvSpPr>
          <cdr:spPr>
            <a:xfrm xmlns:a="http://schemas.openxmlformats.org/drawingml/2006/main">
              <a:off x="650000" y="43400"/>
              <a:ext cx="780150" cy="11041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GB" sz="750" b="0" i="0">
                  <a:solidFill>
                    <a:srgbClr val="000000"/>
                  </a:solidFill>
                  <a:latin typeface="Arial Narrow"/>
                </a:rPr>
                <a:t>Fuel Tax Concessions</a:t>
              </a:r>
            </a:p>
          </cdr:txBody>
        </cdr:sp>
      </cdr:grpSp>
      <cdr:grpSp>
        <cdr:nvGrpSpPr>
          <cdr:cNvPr id="64" name="xlamLegendEntry22"/>
          <cdr:cNvGrpSpPr/>
        </cdr:nvGrpSpPr>
        <cdr:grpSpPr>
          <a:xfrm xmlns:a="http://schemas.openxmlformats.org/drawingml/2006/main">
            <a:off x="2520043" y="43400"/>
            <a:ext cx="864895" cy="110416"/>
            <a:chOff x="2520046" y="43400"/>
            <a:chExt cx="864896" cy="110415"/>
          </a:xfrm>
        </cdr:grpSpPr>
        <cdr:sp macro="" textlink="">
          <cdr:nvSpPr>
            <cdr:cNvPr id="74" name="xlamLegendSymbol22"/>
            <cdr:cNvSpPr/>
          </cdr:nvSpPr>
          <cdr:spPr>
            <a:xfrm xmlns:a="http://schemas.openxmlformats.org/drawingml/2006/main">
              <a:off x="2520046" y="61400"/>
              <a:ext cx="144000" cy="72000"/>
            </a:xfrm>
            <a:prstGeom xmlns:a="http://schemas.openxmlformats.org/drawingml/2006/main" prst="rect">
              <a:avLst/>
            </a:prstGeom>
            <a:solidFill xmlns:a="http://schemas.openxmlformats.org/drawingml/2006/main">
              <a:srgbClr val="CCCCCC"/>
            </a:solid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GB" sz="1100"/>
            </a:p>
          </cdr:txBody>
        </cdr:sp>
        <cdr:sp macro="" textlink="">
          <cdr:nvSpPr>
            <cdr:cNvPr id="75" name="xlamLegendText22"/>
            <cdr:cNvSpPr txBox="1"/>
          </cdr:nvSpPr>
          <cdr:spPr>
            <a:xfrm xmlns:a="http://schemas.openxmlformats.org/drawingml/2006/main">
              <a:off x="2736046" y="43400"/>
              <a:ext cx="648896" cy="11041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GB" sz="750" b="0" i="0">
                  <a:solidFill>
                    <a:srgbClr val="000000"/>
                  </a:solidFill>
                  <a:latin typeface="Arial Narrow"/>
                </a:rPr>
                <a:t>Equipment &amp; Input</a:t>
              </a:r>
            </a:p>
          </cdr:txBody>
        </cdr:sp>
      </cdr:grpSp>
      <cdr:grpSp>
        <cdr:nvGrpSpPr>
          <cdr:cNvPr id="65" name="xlamLegendEntry32"/>
          <cdr:cNvGrpSpPr/>
        </cdr:nvGrpSpPr>
        <cdr:grpSpPr>
          <a:xfrm xmlns:a="http://schemas.openxmlformats.org/drawingml/2006/main">
            <a:off x="4476956" y="43400"/>
            <a:ext cx="680553" cy="110415"/>
            <a:chOff x="4476956" y="43400"/>
            <a:chExt cx="680551" cy="110415"/>
          </a:xfrm>
        </cdr:grpSpPr>
        <cdr:sp macro="" textlink="">
          <cdr:nvSpPr>
            <cdr:cNvPr id="72" name="xlamLegendSymbol32"/>
            <cdr:cNvSpPr/>
          </cdr:nvSpPr>
          <cdr:spPr>
            <a:xfrm xmlns:a="http://schemas.openxmlformats.org/drawingml/2006/main">
              <a:off x="4476956" y="61400"/>
              <a:ext cx="144000" cy="72000"/>
            </a:xfrm>
            <a:prstGeom xmlns:a="http://schemas.openxmlformats.org/drawingml/2006/main" prst="rect">
              <a:avLst/>
            </a:prstGeom>
            <a:solidFill xmlns:a="http://schemas.openxmlformats.org/drawingml/2006/main">
              <a:srgbClr val="A7B9E3"/>
            </a:solid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GB" sz="1100"/>
            </a:p>
          </cdr:txBody>
        </cdr:sp>
        <cdr:sp macro="" textlink="">
          <cdr:nvSpPr>
            <cdr:cNvPr id="73" name="xlamLegendText32"/>
            <cdr:cNvSpPr txBox="1"/>
          </cdr:nvSpPr>
          <cdr:spPr>
            <a:xfrm xmlns:a="http://schemas.openxmlformats.org/drawingml/2006/main">
              <a:off x="4692956" y="43400"/>
              <a:ext cx="464551" cy="11041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GB" sz="750" b="0" i="0">
                  <a:solidFill>
                    <a:srgbClr val="000000"/>
                  </a:solidFill>
                  <a:latin typeface="Arial Narrow"/>
                </a:rPr>
                <a:t>Infrastructure</a:t>
              </a:r>
            </a:p>
          </cdr:txBody>
        </cdr:sp>
      </cdr:grpSp>
      <cdr:grpSp>
        <cdr:nvGrpSpPr>
          <cdr:cNvPr id="66" name="xlamLegendEntry42"/>
          <cdr:cNvGrpSpPr/>
        </cdr:nvGrpSpPr>
        <cdr:grpSpPr>
          <a:xfrm xmlns:a="http://schemas.openxmlformats.org/drawingml/2006/main">
            <a:off x="650000" y="169399"/>
            <a:ext cx="898578" cy="110415"/>
            <a:chOff x="650000" y="169400"/>
            <a:chExt cx="898579" cy="110415"/>
          </a:xfrm>
        </cdr:grpSpPr>
        <cdr:sp macro="" textlink="">
          <cdr:nvSpPr>
            <cdr:cNvPr id="71" name="xlamLegendText42"/>
            <cdr:cNvSpPr txBox="1"/>
          </cdr:nvSpPr>
          <cdr:spPr>
            <a:xfrm xmlns:a="http://schemas.openxmlformats.org/drawingml/2006/main">
              <a:off x="650000" y="169400"/>
              <a:ext cx="898579" cy="11041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GB" sz="750" b="0" i="0">
                  <a:solidFill>
                    <a:srgbClr val="000000"/>
                  </a:solidFill>
                  <a:latin typeface="Arial Narrow"/>
                </a:rPr>
                <a:t>Research &amp; Development</a:t>
              </a:r>
            </a:p>
          </cdr:txBody>
        </cdr:sp>
      </cdr:grpSp>
      <cdr:grpSp>
        <cdr:nvGrpSpPr>
          <cdr:cNvPr id="67" name="xlamLegendEntry52"/>
          <cdr:cNvGrpSpPr/>
        </cdr:nvGrpSpPr>
        <cdr:grpSpPr>
          <a:xfrm xmlns:a="http://schemas.openxmlformats.org/drawingml/2006/main">
            <a:off x="2520046" y="169400"/>
            <a:ext cx="982940" cy="110415"/>
            <a:chOff x="2520046" y="169400"/>
            <a:chExt cx="982941" cy="110415"/>
          </a:xfrm>
        </cdr:grpSpPr>
        <cdr:sp macro="" textlink="">
          <cdr:nvSpPr>
            <cdr:cNvPr id="68" name="xlamLegendSymbol52"/>
            <cdr:cNvSpPr/>
          </cdr:nvSpPr>
          <cdr:spPr>
            <a:xfrm xmlns:a="http://schemas.openxmlformats.org/drawingml/2006/main">
              <a:off x="2520046" y="187400"/>
              <a:ext cx="144000" cy="72000"/>
            </a:xfrm>
            <a:prstGeom xmlns:a="http://schemas.openxmlformats.org/drawingml/2006/main" prst="rect">
              <a:avLst/>
            </a:prstGeom>
            <a:solidFill xmlns:a="http://schemas.openxmlformats.org/drawingml/2006/main">
              <a:srgbClr val="EDF0F7"/>
            </a:solid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GB" sz="1100"/>
            </a:p>
          </cdr:txBody>
        </cdr:sp>
        <cdr:sp macro="" textlink="">
          <cdr:nvSpPr>
            <cdr:cNvPr id="69" name="xlamLegendText52"/>
            <cdr:cNvSpPr txBox="1"/>
          </cdr:nvSpPr>
          <cdr:spPr>
            <a:xfrm xmlns:a="http://schemas.openxmlformats.org/drawingml/2006/main">
              <a:off x="2736046" y="169400"/>
              <a:ext cx="766941" cy="11041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a:extLst xmlns:a="http://schemas.openxmlformats.org/drawingml/2006/main">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horz" wrap="none" lIns="0" tIns="0" rIns="0" bIns="0" rtlCol="0" anchor="t">
              <a:sp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GB" sz="750" b="0" i="0">
                  <a:solidFill>
                    <a:srgbClr val="000000"/>
                  </a:solidFill>
                  <a:latin typeface="Arial Narrow"/>
                </a:rPr>
                <a:t>Control &amp; Certification</a:t>
              </a:r>
            </a:p>
          </cdr:txBody>
        </cdr:sp>
      </cdr:grpSp>
    </cdr:grpSp>
  </cdr:relSizeAnchor>
  <cdr:relSizeAnchor xmlns:cdr="http://schemas.openxmlformats.org/drawingml/2006/chartDrawing">
    <cdr:from>
      <cdr:x>0.1313</cdr:x>
      <cdr:y>0.06964</cdr:y>
    </cdr:from>
    <cdr:to>
      <cdr:x>0.15608</cdr:x>
      <cdr:y>0.09033</cdr:y>
    </cdr:to>
    <cdr:sp macro="" textlink="">
      <cdr:nvSpPr>
        <cdr:cNvPr id="78" name="xlamLegendSymbol61"/>
        <cdr:cNvSpPr/>
      </cdr:nvSpPr>
      <cdr:spPr>
        <a:xfrm xmlns:a="http://schemas.openxmlformats.org/drawingml/2006/main">
          <a:off x="728980" y="245110"/>
          <a:ext cx="137625" cy="72829"/>
        </a:xfrm>
        <a:prstGeom xmlns:a="http://schemas.openxmlformats.org/drawingml/2006/main" prst="rect">
          <a:avLst/>
        </a:prstGeom>
        <a:pattFill xmlns:a="http://schemas.openxmlformats.org/drawingml/2006/main" prst="openDmnd">
          <a:fgClr>
            <a:srgbClr val="000000"/>
          </a:fgClr>
          <a:bgClr>
            <a:srgbClr val="FFFFFF"/>
          </a:bgClr>
        </a:pattFill>
        <a:ln xmlns:a="http://schemas.openxmlformats.org/drawingml/2006/main" w="6350">
          <a:solidFill>
            <a:srgbClr val="0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GB" sz="1100"/>
        </a:p>
      </cdr:txBody>
    </cdr:sp>
  </cdr:relSizeAnchor>
  <cdr:relSizeAnchor xmlns:cdr="http://schemas.openxmlformats.org/drawingml/2006/chartDrawing">
    <cdr:from>
      <cdr:x>0.19452</cdr:x>
      <cdr:y>0.63274</cdr:y>
    </cdr:from>
    <cdr:to>
      <cdr:x>0.38489</cdr:x>
      <cdr:y>0.96084</cdr:y>
    </cdr:to>
    <cdr:sp macro="" textlink="">
      <cdr:nvSpPr>
        <cdr:cNvPr id="25" name="TextBox 898"/>
        <cdr:cNvSpPr txBox="1"/>
      </cdr:nvSpPr>
      <cdr:spPr>
        <a:xfrm xmlns:a="http://schemas.openxmlformats.org/drawingml/2006/main">
          <a:off x="1077344" y="2190151"/>
          <a:ext cx="1054344" cy="11356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sp>
  </cdr:relSizeAnchor>
  <cdr:relSizeAnchor xmlns:cdr="http://schemas.openxmlformats.org/drawingml/2006/chartDrawing">
    <cdr:from>
      <cdr:x>0.66826</cdr:x>
      <cdr:y>0.63443</cdr:y>
    </cdr:from>
    <cdr:to>
      <cdr:x>0.85545</cdr:x>
      <cdr:y>0.96295</cdr:y>
    </cdr:to>
    <cdr:sp macro="" textlink="">
      <cdr:nvSpPr>
        <cdr:cNvPr id="26" name="TextBox 899"/>
        <cdr:cNvSpPr txBox="1"/>
      </cdr:nvSpPr>
      <cdr:spPr>
        <a:xfrm xmlns:a="http://schemas.openxmlformats.org/drawingml/2006/main">
          <a:off x="3701114" y="2196012"/>
          <a:ext cx="1036760" cy="113714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OECDListFormCollapsible</Display>
  <Edit>OECDListFormCollapsible</Edit>
  <New>OECDListFormCollapsible</New>
</FormTemplates>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D80372FEABFE854F9128995BC20FFDE0" ma:contentTypeVersion="199" ma:contentTypeDescription="" ma:contentTypeScope="" ma:versionID="7c1399da1a54b593c410b7b4834cbc51">
  <xsd:schema xmlns:xsd="http://www.w3.org/2001/XMLSchema" xmlns:xs="http://www.w3.org/2001/XMLSchema" xmlns:p="http://schemas.microsoft.com/office/2006/metadata/properties" xmlns:ns1="http://schemas.microsoft.com/sharepoint/v3" xmlns:ns2="54c4cd27-f286-408f-9ce0-33c1e0f3ab39" xmlns:ns3="218edd1d-d930-43a9-98e4-fcc7048dc93f" xmlns:ns4="ca82dde9-3436-4d3d-bddd-d31447390034" xmlns:ns5="f4895bf2-9ca5-4628-9927-264e60050b64" xmlns:ns6="c9f238dd-bb73-4aef-a7a5-d644ad823e52" targetNamespace="http://schemas.microsoft.com/office/2006/metadata/properties" ma:root="true" ma:fieldsID="f8410b9bfe06a819e07029fca7d336f4" ns1:_="" ns2:_="" ns3:_="" ns4:_="" ns5:_="" ns6:_="">
    <xsd:import namespace="http://schemas.microsoft.com/sharepoint/v3"/>
    <xsd:import namespace="54c4cd27-f286-408f-9ce0-33c1e0f3ab39"/>
    <xsd:import namespace="218edd1d-d930-43a9-98e4-fcc7048dc93f"/>
    <xsd:import namespace="ca82dde9-3436-4d3d-bddd-d31447390034"/>
    <xsd:import namespace="f4895bf2-9ca5-4628-9927-264e60050b64"/>
    <xsd:import namespace="c9f238dd-bb73-4aef-a7a5-d644ad823e52"/>
    <xsd:element name="properties">
      <xsd:complexType>
        <xsd:sequence>
          <xsd:element name="documentManagement">
            <xsd:complexType>
              <xsd:all>
                <xsd:element ref="ns2:OECDMeetingDate" minOccurs="0"/>
                <xsd:element ref="ns4:OECDlanguage" minOccurs="0"/>
                <xsd:element ref="ns3:OECDExpirationDate" minOccurs="0"/>
                <xsd:element ref="ns5:OECDProjectLookup" minOccurs="0"/>
                <xsd:element ref="ns5:OECDProjectManager" minOccurs="0"/>
                <xsd:element ref="ns5:OECDProjectMembers" minOccurs="0"/>
                <xsd:element ref="ns5:OECDMainProject" minOccurs="0"/>
                <xsd:element ref="ns5:OECDPinnedBy" minOccurs="0"/>
                <xsd:element ref="ns2:OECDKimStatus" minOccurs="0"/>
                <xsd:element ref="ns5:OECDTagsCache" minOccurs="0"/>
                <xsd:element ref="ns3:_dlc_DocIdUrl" minOccurs="0"/>
                <xsd:element ref="ns6:eShareCountryTaxHTField0" minOccurs="0"/>
                <xsd:element ref="ns6:eShareTopicTaxHTField0" minOccurs="0"/>
                <xsd:element ref="ns6:eShareKeywordsTaxHTField0" minOccurs="0"/>
                <xsd:element ref="ns6:eShareCommitteeTaxHTField0" minOccurs="0"/>
                <xsd:element ref="ns6:eSharePWBTaxHTField0" minOccurs="0"/>
                <xsd:element ref="ns3:_dlc_DocId" minOccurs="0"/>
                <xsd:element ref="ns2:OECDKimProvenance" minOccurs="0"/>
                <xsd:element ref="ns4:TaxCatchAllLabel" minOccurs="0"/>
                <xsd:element ref="ns5:dbdcbb51bc004245ab71674fd1b8a07e" minOccurs="0"/>
                <xsd:element ref="ns5:d1157d34cb3e4b4d92eb2dc96654fa68" minOccurs="0"/>
                <xsd:element ref="ns3:_dlc_DocIdPersistId" minOccurs="0"/>
                <xsd:element ref="ns2:OECDKimBussinessContext" minOccurs="0"/>
                <xsd:element ref="ns4:TaxCatchAll" minOccurs="0"/>
                <xsd:element ref="ns5:Project_x003a_Project_x0020_status" minOccurs="0"/>
                <xsd:element ref="ns3:j89cecd0b5a3476faf70cc48721566a0" minOccurs="0"/>
                <xsd:element ref="ns5:debbcac353074a85a171539c83776b5b" minOccurs="0"/>
                <xsd:element ref="ns1:DocumentSetDescription" minOccurs="0"/>
                <xsd:element ref="ns5:OECDSharingStatus" minOccurs="0"/>
                <xsd:element ref="ns5:OECDCommunityDocumentURL" minOccurs="0"/>
                <xsd:element ref="ns5:OECDCommunityDocumentID" minOccurs="0"/>
                <xsd:element ref="ns3:eShareHorizProjTaxHTField0" minOccurs="0"/>
                <xsd:element ref="ns3:OECDAllRelated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ma:readOnly="false">
      <xsd:simpleType>
        <xsd:restriction base="dms:DateTime"/>
      </xsd:simpleType>
    </xsd:element>
    <xsd:element name="OECDKimStatus" ma:index="16"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Provenance" ma:index="27" nillable="true" ma:displayName="Kim provenance" ma:description="" ma:hidden="true" ma:internalName="OECDKimProvenance" ma:readOnly="false">
      <xsd:simpleType>
        <xsd:restriction base="dms:Text">
          <xsd:maxLength value="255"/>
        </xsd:restriction>
      </xsd:simpleType>
    </xsd:element>
    <xsd:element name="OECDKimBussinessContext" ma:index="33" nillable="true" ma:displayName="Kim business context" ma:description="" ma:hidden="true" ma:internalName="OECDKimBussinessContex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edd1d-d930-43a9-98e4-fcc7048dc93f"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_dlc_DocIdUrl" ma:index="18"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ma:description="" ma:hidden="true" ma:internalName="_dlc_DocId" ma:readOnly="true">
      <xsd:simpleType>
        <xsd:restriction base="dms:Text"/>
      </xsd:simpleType>
    </xsd:element>
    <xsd:element name="_dlc_DocIdPersistId" ma:index="32" nillable="true" ma:displayName="Persist ID" ma:description="Keep ID on add." ma:hidden="true" ma:internalName="_dlc_DocIdPersistId" ma:readOnly="true">
      <xsd:simpleType>
        <xsd:restriction base="dms:Boolean"/>
      </xsd:simpleType>
    </xsd:element>
    <xsd:element name="j89cecd0b5a3476faf70cc48721566a0" ma:index="38" nillable="true" ma:taxonomy="true" ma:internalName="j89cecd0b5a3476faf70cc48721566a0" ma:taxonomyFieldName="OECDHorizontalProjects" ma:displayName="Horizontal project" ma:readOnly="false" ma:default="" ma:fieldId="389cecd0-b5a3-476f-af70-cc48721566a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5" nillable="true" ma:displayName="OECDHorizontalProjects_0" ma:description="" ma:hidden="true" ma:internalName="eShareHorizProjTaxHTField0">
      <xsd:simpleType>
        <xsd:restriction base="dms:Note"/>
      </xsd:simpleType>
    </xsd:element>
    <xsd:element name="OECDAllRelatedUsers" ma:index="48"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29" nillable="true" ma:displayName="Taxonomy Catch All Column1" ma:hidden="true" ma:list="{bf0e96e7-7f37-457e-b72e-3bf508f8da33}" ma:internalName="TaxCatchAllLabel" ma:readOnly="true" ma:showField="CatchAllDataLabel" ma:web="218edd1d-d930-43a9-98e4-fcc7048dc93f">
      <xsd:complexType>
        <xsd:complexContent>
          <xsd:extension base="dms:MultiChoiceLookup">
            <xsd:sequence>
              <xsd:element name="Value" type="dms:Lookup" maxOccurs="unbounded" minOccurs="0" nillable="true"/>
            </xsd:sequence>
          </xsd:extension>
        </xsd:complexContent>
      </xsd:complexType>
    </xsd:element>
    <xsd:element name="TaxCatchAll" ma:index="34" nillable="true" ma:displayName="Taxonomy Catch All Column" ma:hidden="true" ma:list="{bf0e96e7-7f37-457e-b72e-3bf508f8da33}" ma:internalName="TaxCatchAll" ma:showField="CatchAllData" ma:web="218edd1d-d930-43a9-98e4-fcc7048dc9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895bf2-9ca5-4628-9927-264e60050b64"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0162ff36-77c1-464f-a633-26873384d4aa" ma:internalName="OECDProjectLookup" ma:readOnly="false" ma:showField="OECDShortProjectName" ma:web="f4895bf2-9ca5-4628-9927-264e60050b64">
      <xsd:simpleType>
        <xsd:restriction base="dms:Unknown"/>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0162ff36-77c1-464f-a633-26873384d4aa" ma:internalName="OECDMainProject" ma:readOnly="false" ma:showField="OECDShortProjectName">
      <xsd:simpleType>
        <xsd:restriction base="dms:Unknown"/>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dbdcbb51bc004245ab71674fd1b8a07e" ma:index="30" nillable="true" ma:displayName="Deliverable partners_0" ma:hidden="true" ma:internalName="dbdcbb51bc004245ab71674fd1b8a07e">
      <xsd:simpleType>
        <xsd:restriction base="dms:Note"/>
      </xsd:simpleType>
    </xsd:element>
    <xsd:element name="d1157d34cb3e4b4d92eb2dc96654fa68" ma:index="31" nillable="true" ma:displayName="Deliverable owner_0" ma:hidden="true" ma:internalName="d1157d34cb3e4b4d92eb2dc96654fa68">
      <xsd:simpleType>
        <xsd:restriction base="dms:Note"/>
      </xsd:simpleType>
    </xsd:element>
    <xsd:element name="Project_x003a_Project_x0020_status" ma:index="37" nillable="true" ma:displayName="Project:Project status" ma:hidden="true" ma:list="0162ff36-77c1-464f-a633-26873384d4aa" ma:internalName="Project_x003A_Project_x0020_status" ma:readOnly="true" ma:showField="OECDProjectStatus" ma:web="f4895bf2-9ca5-4628-9927-264e60050b64">
      <xsd:simpleType>
        <xsd:restriction base="dms:Lookup"/>
      </xsd:simpleType>
    </xsd:element>
    <xsd:element name="debbcac353074a85a171539c83776b5b" ma:index="39" nillable="true" ma:taxonomy="true" ma:internalName="debbcac353074a85a171539c83776b5b" ma:taxonomyFieldName="OECDProjectOwnerStructure" ma:displayName="Project owner" ma:readOnly="false" ma:default="" ma:fieldId="debbcac3-5307-4a85-a171-539c83776b5b"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42" nillable="true" ma:displayName="O.N.E Document Sharing Status" ma:description="" ma:hidden="true" ma:internalName="OECDSharingStatus">
      <xsd:simpleType>
        <xsd:restriction base="dms:Text"/>
      </xsd:simpleType>
    </xsd:element>
    <xsd:element name="OECDCommunityDocumentURL" ma:index="43" nillable="true" ma:displayName="O.N.E Community Document URL" ma:description="" ma:hidden="true" ma:internalName="OECDCommunityDocumentURL">
      <xsd:simpleType>
        <xsd:restriction base="dms:Text"/>
      </xsd:simpleType>
    </xsd:element>
    <xsd:element name="OECDCommunityDocumentID" ma:index="44" nillable="true" ma:displayName="O.N.E Community Document ID" ma:decimals="0" ma:description="" ma:hidden="true" ma:internalName="OECDCommunityDocument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3" nillable="true" ma:taxonomy="true" ma:internalName="eShareCommitteeTaxHTField0" ma:taxonomyFieldName="OECDCommittee" ma:displayName="Committee" ma:readOnly="fals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readOnly="false" ma:default="" ma:fieldId="fe327ce1-b783-48aa-9b0b-52ad26d1c9f6" ma:taxonomyMulti="true"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eferenced-cote-metadata>
  <cote decisionType="InOlis">TAD/CA/APM/WP(2016)20</cote>
  <allcotes>
    <coteref>TAD/CA/APM/WP(2016)20</coteref>
    <coteref>TAD/CA/APM/WP(2016)20</coteref>
  </allcotes>
</referenced-cote-metadata>
</file>

<file path=customXml/item4.xml><?xml version="1.0" encoding="utf-8"?>
<p:properties xmlns:p="http://schemas.microsoft.com/office/2006/metadata/properties" xmlns:xsi="http://www.w3.org/2001/XMLSchema-instance" xmlns:pc="http://schemas.microsoft.com/office/infopath/2007/PartnerControls">
  <documentManagement>
    <OECDCommunityDocumentID xmlns="f4895bf2-9ca5-4628-9927-264e60050b64" xsi:nil="true"/>
    <dbdcbb51bc004245ab71674fd1b8a07e xmlns="f4895bf2-9ca5-4628-9927-264e60050b64" xsi:nil="true"/>
    <debbcac353074a85a171539c83776b5b xmlns="f4895bf2-9ca5-4628-9927-264e60050b64">
      <Terms xmlns="http://schemas.microsoft.com/office/infopath/2007/PartnerControls">
        <TermInfo xmlns="http://schemas.microsoft.com/office/infopath/2007/PartnerControls">
          <TermName xmlns="http://schemas.microsoft.com/office/infopath/2007/PartnerControls">TAD/DD</TermName>
          <TermId xmlns="http://schemas.microsoft.com/office/infopath/2007/PartnerControls">d00cb606-9c91-458f-a840-465fb27b0db6</TermId>
        </TermInfo>
      </Terms>
    </debbcac353074a85a171539c83776b5b>
    <OECDMainProject xmlns="f4895bf2-9ca5-4628-9927-264e60050b64">66</OECDMainProject>
    <d1157d34cb3e4b4d92eb2dc96654fa68 xmlns="f4895bf2-9ca5-4628-9927-264e60050b64" xsi:nil="true"/>
    <OECDKimBussinessContext xmlns="54c4cd27-f286-408f-9ce0-33c1e0f3ab39" xsi:nil="true"/>
    <OECDlanguage xmlns="ca82dde9-3436-4d3d-bddd-d31447390034">English</OECDlanguage>
    <eSharePWBTaxHTField0 xmlns="c9f238dd-bb73-4aef-a7a5-d644ad823e52">
      <Terms xmlns="http://schemas.microsoft.com/office/infopath/2007/PartnerControls">
        <TermInfo xmlns="http://schemas.microsoft.com/office/infopath/2007/PartnerControls">
          <TermName xmlns="http://schemas.microsoft.com/office/infopath/2007/PartnerControls">3.2.2.3.1 Building Food Security and Managing Risks --A focus on Southeast Asia (one analytical report, one workshop)</TermName>
          <TermId xmlns="http://schemas.microsoft.com/office/infopath/2007/PartnerControls">28e70e7d-0c3b-4f4b-bb80-ecb0c06693ce</TermId>
        </TermInfo>
      </Terms>
    </eSharePWBTaxHTField0>
    <OECDExpirationDate xmlns="218edd1d-d930-43a9-98e4-fcc7048dc93f" xsi:nil="true"/>
    <OECDProjectMembers xmlns="f4895bf2-9ca5-4628-9927-264e60050b64">
      <UserInfo>
        <DisplayName>KIMURA Shingo, TAD/PTA</DisplayName>
        <AccountId>111</AccountId>
        <AccountType/>
      </UserInfo>
      <UserInfo>
        <DisplayName>VAN TONGEREN Frank, TAD/PTA</DisplayName>
        <AccountId>137</AccountId>
        <AccountType/>
      </UserInfo>
      <UserInfo>
        <DisplayName>JESUS Franck, TAD/NRP</DisplayName>
        <AccountId>530</AccountId>
        <AccountType/>
      </UserInfo>
      <UserInfo>
        <DisplayName>IGNACIUK Ada, TAD/NRP</DisplayName>
        <AccountId>198</AccountId>
        <AccountType/>
      </UserInfo>
      <UserInfo>
        <DisplayName>MARTINI Roger, TAD/NRP</DisplayName>
        <AccountId>147</AccountId>
        <AccountType/>
      </UserInfo>
      <UserInfo>
        <DisplayName>DELPEUCH Claire, TAD/NRP</DisplayName>
        <AccountId>168</AccountId>
        <AccountType/>
      </UserInfo>
      <UserInfo>
        <DisplayName>HONG Lae Hyung, TAD/NRP</DisplayName>
        <AccountId>336</AccountId>
        <AccountType/>
      </UserInfo>
      <UserInfo>
        <DisplayName>DEUSS Annelies, TAD/ATM</DisplayName>
        <AccountId>282</AccountId>
        <AccountType/>
      </UserInfo>
      <UserInfo>
        <DisplayName>BROOKS Jonathan, TAD/ATM</DisplayName>
        <AccountId>161</AccountId>
        <AccountType/>
      </UserInfo>
      <UserInfo>
        <DisplayName>FURUHASHI Gen, TAD/ATM</DisplayName>
        <AccountId>824</AccountId>
        <AccountType/>
      </UserInfo>
      <UserInfo>
        <DisplayName>TALLARD Grégoire, TAD/ATM</DisplayName>
        <AccountId>134</AccountId>
        <AccountType/>
      </UserInfo>
      <UserInfo>
        <DisplayName>KWIECINSKI Andrzej, TAD/DD</DisplayName>
        <AccountId>132</AccountId>
        <AccountType/>
      </UserInfo>
    </OECDProjectMembers>
    <DocumentSetDescription xmlns="http://schemas.microsoft.com/sharepoint/v3" xsi:nil="true"/>
    <OECDCommunityDocumentURL xmlns="f4895bf2-9ca5-4628-9927-264e60050b64" xsi:nil="true"/>
    <OECDMeetingDate xmlns="54c4cd27-f286-408f-9ce0-33c1e0f3ab39" xsi:nil="true"/>
    <OECDProjectManager xmlns="f4895bf2-9ca5-4628-9927-264e60050b64">
      <UserInfo>
        <DisplayName/>
        <AccountId>532</AccountId>
        <AccountType/>
      </UserInfo>
    </OECDProjectManager>
    <eShareHorizProjTaxHTField0 xmlns="218edd1d-d930-43a9-98e4-fcc7048dc93f" xsi:nil="true"/>
    <eShareCommitteeTaxHTField0 xmlns="c9f238dd-bb73-4aef-a7a5-d644ad823e52">
      <Terms xmlns="http://schemas.microsoft.com/office/infopath/2007/PartnerControls">
        <TermInfo xmlns="http://schemas.microsoft.com/office/infopath/2007/PartnerControls">
          <TermName xmlns="http://schemas.microsoft.com/office/infopath/2007/PartnerControls">Committee for Agriculture</TermName>
          <TermId xmlns="http://schemas.microsoft.com/office/infopath/2007/PartnerControls">a44c7578-aba1-48cd-a12f-5dc669ecb807</TermId>
        </TermInfo>
      </Terms>
    </eShareCommitteeTaxHTField0>
    <OECDTagsCache xmlns="f4895bf2-9ca5-4628-9927-264e60050b64" xsi:nil="true"/>
    <OECDKimProvenance xmlns="54c4cd27-f286-408f-9ce0-33c1e0f3ab39" xsi:nil="true"/>
    <OECDSharingStatus xmlns="f4895bf2-9ca5-4628-9927-264e60050b64" xsi:nil="true"/>
    <OECDKimStatus xmlns="54c4cd27-f286-408f-9ce0-33c1e0f3ab39">Draft</OECDKimStatus>
    <eShareCountryTaxHTField0 xmlns="c9f238dd-bb73-4aef-a7a5-d644ad823e52">
      <Terms xmlns="http://schemas.microsoft.com/office/infopath/2007/PartnerControls">
        <TermInfo xmlns="http://schemas.microsoft.com/office/infopath/2007/PartnerControls">
          <TermName xmlns="http://schemas.microsoft.com/office/infopath/2007/PartnerControls">Southeast Asia</TermName>
          <TermId xmlns="http://schemas.microsoft.com/office/infopath/2007/PartnerControls">71622b3c-2847-4692-b182-f481a3b14416</TermId>
        </TermInfo>
        <TermInfo xmlns="http://schemas.microsoft.com/office/infopath/2007/PartnerControls">
          <TermName xmlns="http://schemas.microsoft.com/office/infopath/2007/PartnerControls">Indonesia</TermName>
          <TermId xmlns="http://schemas.microsoft.com/office/infopath/2007/PartnerControls">306af9f6-50e0-4343-bbca-50ac2b6a7247</TermId>
        </TermInfo>
      </Term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498e4f01-3972-4783-be99-3da401d0d093</TermId>
        </TermInfo>
        <TermInfo xmlns="http://schemas.microsoft.com/office/infopath/2007/PartnerControls">
          <TermName xmlns="http://schemas.microsoft.com/office/infopath/2007/PartnerControls">Fishery policy</TermName>
          <TermId xmlns="http://schemas.microsoft.com/office/infopath/2007/PartnerControls">ae83b269-ee59-42f6-9a12-fe8617f5adb7</TermId>
        </TermInfo>
      </Terms>
    </eShareTopicTaxHTField0>
    <OECDPinnedBy xmlns="f4895bf2-9ca5-4628-9927-264e60050b64">
      <UserInfo>
        <DisplayName/>
        <AccountId xsi:nil="true"/>
        <AccountType/>
      </UserInfo>
    </OECDPinnedBy>
    <eShareKeywordsTaxHTField0 xmlns="c9f238dd-bb73-4aef-a7a5-d644ad823e52">
      <Terms xmlns="http://schemas.microsoft.com/office/infopath/2007/PartnerControls">
        <TermInfo xmlns="http://schemas.microsoft.com/office/infopath/2007/PartnerControls">
          <TermName xmlns="http://schemas.microsoft.com/office/infopath/2007/PartnerControls">Indonesia (Country)</TermName>
          <TermId xmlns="http://schemas.microsoft.com/office/infopath/2007/PartnerControls">9e1e6ede-0367-48bf-ac24-e1689924b195</TermId>
        </TermInfo>
        <TermInfo xmlns="http://schemas.microsoft.com/office/infopath/2007/PartnerControls">
          <TermName xmlns="http://schemas.microsoft.com/office/infopath/2007/PartnerControls">Fisheries policy</TermName>
          <TermId xmlns="http://schemas.microsoft.com/office/infopath/2007/PartnerControls">51b95dfa-8f7f-4a64-a890-60f65da81a91</TermId>
        </TermInfo>
        <TermInfo xmlns="http://schemas.microsoft.com/office/infopath/2007/PartnerControls">
          <TermName xmlns="http://schemas.microsoft.com/office/infopath/2007/PartnerControls">Food security</TermName>
          <TermId xmlns="http://schemas.microsoft.com/office/infopath/2007/PartnerControls">564e4f39-3543-4982-991f-accfa6fb264c</TermId>
        </TermInfo>
      </Terms>
    </eShareKeywordsTaxHTField0>
    <j89cecd0b5a3476faf70cc48721566a0 xmlns="218edd1d-d930-43a9-98e4-fcc7048dc93f">
      <Terms xmlns="http://schemas.microsoft.com/office/infopath/2007/PartnerControls"/>
    </j89cecd0b5a3476faf70cc48721566a0>
    <OECDProjectLookup xmlns="f4895bf2-9ca5-4628-9927-264e60050b64">88</OECDProjectLookup>
    <TaxCatchAll xmlns="ca82dde9-3436-4d3d-bddd-d31447390034">
      <Value>45</Value>
      <Value>1043</Value>
      <Value>110</Value>
      <Value>1511</Value>
      <Value>473</Value>
      <Value>1503</Value>
      <Value>1110</Value>
      <Value>1040</Value>
      <Value>1107</Value>
      <Value>25</Value>
    </TaxCatchAll>
    <OECDAllRelatedUsers xmlns="218edd1d-d930-43a9-98e4-fcc7048dc93f">
      <UserInfo>
        <DisplayName/>
        <AccountId xsi:nil="true"/>
        <AccountType/>
      </UserInfo>
    </OECDAllRelatedUsers>
  </documentManagement>
</p:properties>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mso-contentType ?>
<spe:Receivers xmlns:spe="http://schemas.microsoft.com/sharepoint/events"/>
</file>

<file path=customXml/item7.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8.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E5A4BD12-8A6E-4303-9629-576295E4CD3D}">
  <ds:schemaRefs>
    <ds:schemaRef ds:uri="http://schemas.microsoft.com/sharepoint/v3/contenttype/forms"/>
  </ds:schemaRefs>
</ds:datastoreItem>
</file>

<file path=customXml/itemProps2.xml><?xml version="1.0" encoding="utf-8"?>
<ds:datastoreItem xmlns:ds="http://schemas.openxmlformats.org/officeDocument/2006/customXml" ds:itemID="{A354A865-2744-4958-AC00-CDDED8D62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c4cd27-f286-408f-9ce0-33c1e0f3ab39"/>
    <ds:schemaRef ds:uri="218edd1d-d930-43a9-98e4-fcc7048dc93f"/>
    <ds:schemaRef ds:uri="ca82dde9-3436-4d3d-bddd-d31447390034"/>
    <ds:schemaRef ds:uri="f4895bf2-9ca5-4628-9927-264e60050b64"/>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0EAE2-2D02-46E9-807D-24F108737115}">
  <ds:schemaRefs/>
</ds:datastoreItem>
</file>

<file path=customXml/itemProps4.xml><?xml version="1.0" encoding="utf-8"?>
<ds:datastoreItem xmlns:ds="http://schemas.openxmlformats.org/officeDocument/2006/customXml" ds:itemID="{5717E104-5DFE-479B-BEE0-8F0ED9556F5E}">
  <ds:schemaRefs>
    <ds:schemaRef ds:uri="http://schemas.microsoft.com/office/2006/metadata/properties"/>
    <ds:schemaRef ds:uri="http://schemas.microsoft.com/office/infopath/2007/PartnerControls"/>
    <ds:schemaRef ds:uri="f4895bf2-9ca5-4628-9927-264e60050b64"/>
    <ds:schemaRef ds:uri="54c4cd27-f286-408f-9ce0-33c1e0f3ab39"/>
    <ds:schemaRef ds:uri="ca82dde9-3436-4d3d-bddd-d31447390034"/>
    <ds:schemaRef ds:uri="c9f238dd-bb73-4aef-a7a5-d644ad823e52"/>
    <ds:schemaRef ds:uri="218edd1d-d930-43a9-98e4-fcc7048dc93f"/>
    <ds:schemaRef ds:uri="http://schemas.microsoft.com/sharepoint/v3"/>
  </ds:schemaRefs>
</ds:datastoreItem>
</file>

<file path=customXml/itemProps5.xml><?xml version="1.0" encoding="utf-8"?>
<ds:datastoreItem xmlns:ds="http://schemas.openxmlformats.org/officeDocument/2006/customXml" ds:itemID="{089D6FA8-0332-445E-BED3-14B6B8EEC579}">
  <ds:schemaRefs>
    <ds:schemaRef ds:uri="Microsoft.SharePoint.Taxonomy.ContentTypeSync"/>
  </ds:schemaRefs>
</ds:datastoreItem>
</file>

<file path=customXml/itemProps6.xml><?xml version="1.0" encoding="utf-8"?>
<ds:datastoreItem xmlns:ds="http://schemas.openxmlformats.org/officeDocument/2006/customXml" ds:itemID="{6FCD8361-860F-4FEE-A875-A8359FD79BE7}">
  <ds:schemaRefs>
    <ds:schemaRef ds:uri="http://schemas.microsoft.com/sharepoint/events"/>
  </ds:schemaRefs>
</ds:datastoreItem>
</file>

<file path=customXml/itemProps7.xml><?xml version="1.0" encoding="utf-8"?>
<ds:datastoreItem xmlns:ds="http://schemas.openxmlformats.org/officeDocument/2006/customXml" ds:itemID="{712A7560-E7F8-4568-9532-EBB6655D5E71}">
  <ds:schemaRefs>
    <ds:schemaRef ds:uri="http://www.oecd.org/eshare/projectsentre/CtFieldPriority/"/>
    <ds:schemaRef ds:uri="http://schemas.microsoft.com/2003/10/Serialization/Arrays"/>
  </ds:schemaRefs>
</ds:datastoreItem>
</file>

<file path=customXml/itemProps8.xml><?xml version="1.0" encoding="utf-8"?>
<ds:datastoreItem xmlns:ds="http://schemas.openxmlformats.org/officeDocument/2006/customXml" ds:itemID="{E0D520C5-1224-4F24-86ED-9FA8AA35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AE2007.dotm</Template>
  <TotalTime>3</TotalTime>
  <Pages>1</Pages>
  <Words>16804</Words>
  <Characters>95788</Characters>
  <Application>Microsoft Office Word</Application>
  <DocSecurity>0</DocSecurity>
  <Lines>798</Lines>
  <Paragraphs>224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O.E.C.D.</Company>
  <LinksUpToDate>false</LinksUpToDate>
  <CharactersWithSpaces>112368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LINCOURT Stéphanie</dc:creator>
  <cp:lastModifiedBy>DELPEUCH Claire</cp:lastModifiedBy>
  <cp:revision>6</cp:revision>
  <cp:lastPrinted>2017-02-10T09:58:00Z</cp:lastPrinted>
  <dcterms:created xsi:type="dcterms:W3CDTF">2017-02-10T16:23:00Z</dcterms:created>
  <dcterms:modified xsi:type="dcterms:W3CDTF">2017-02-10T16:25:00Z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y fmtid="{D5CDD505-2E9C-101B-9397-08002B2CF9AE}" pid="5" name="ContentTypeId">
    <vt:lpwstr>0x0101008B4DD370EC31429186F3AD49F0D3098F00D44DBCB9EB4F45278CB5C9765BE5299500A4858B360C6A491AA753F8BCA47AA91000D80372FEABFE854F9128995BC20FFDE0</vt:lpwstr>
  </property>
  <property fmtid="{D5CDD505-2E9C-101B-9397-08002B2CF9AE}" pid="6" name="OECDProjectOwnerStructure">
    <vt:lpwstr>473;#TAD/DD|d00cb606-9c91-458f-a840-465fb27b0db6</vt:lpwstr>
  </property>
  <property fmtid="{D5CDD505-2E9C-101B-9397-08002B2CF9AE}" pid="7" name="OECDCountry">
    <vt:lpwstr>1043;#Southeast Asia|71622b3c-2847-4692-b182-f481a3b14416;#110;#Indonesia|306af9f6-50e0-4343-bbca-50ac2b6a7247</vt:lpwstr>
  </property>
  <property fmtid="{D5CDD505-2E9C-101B-9397-08002B2CF9AE}" pid="8" name="OECDTopic">
    <vt:lpwstr>45;#Agriculture|498e4f01-3972-4783-be99-3da401d0d093;#1110;#Fishery policy|ae83b269-ee59-42f6-9a12-fe8617f5adb7</vt:lpwstr>
  </property>
  <property fmtid="{D5CDD505-2E9C-101B-9397-08002B2CF9AE}" pid="9" name="OECDHorizontalProjects">
    <vt:lpwstr/>
  </property>
  <property fmtid="{D5CDD505-2E9C-101B-9397-08002B2CF9AE}" pid="10" name="OECDCommittee">
    <vt:lpwstr>25;#Committee for Agriculture|a44c7578-aba1-48cd-a12f-5dc669ecb807</vt:lpwstr>
  </property>
  <property fmtid="{D5CDD505-2E9C-101B-9397-08002B2CF9AE}" pid="11" name="OECDPWB">
    <vt:lpwstr>1107;#3.2.2.3.1 Building Food Security and Managing Risks --A focus on Southeast Asia (one analytical report, one workshop)|28e70e7d-0c3b-4f4b-bb80-ecb0c06693ce</vt:lpwstr>
  </property>
  <property fmtid="{D5CDD505-2E9C-101B-9397-08002B2CF9AE}" pid="12" name="OECDKeywords">
    <vt:lpwstr>1511;#Indonesia (Country)|9e1e6ede-0367-48bf-ac24-e1689924b195;#1503;#Fisheries policy|51b95dfa-8f7f-4a64-a890-60f65da81a91;#1040;#Food security|564e4f39-3543-4982-991f-accfa6fb264c</vt:lpwstr>
  </property>
  <property fmtid="{D5CDD505-2E9C-101B-9397-08002B2CF9AE}" pid="13" name="eShareOrganisationTaxHTField0">
    <vt:lpwstr/>
  </property>
  <property fmtid="{D5CDD505-2E9C-101B-9397-08002B2CF9AE}" pid="14" name="OECDOrganisation">
    <vt:lpwstr/>
  </property>
  <property fmtid="{D5CDD505-2E9C-101B-9397-08002B2CF9AE}" pid="15" name="OD_DOCUMENTSTATUS">
    <vt:lpwstr>On OLIS</vt:lpwstr>
  </property>
  <property fmtid="{D5CDD505-2E9C-101B-9397-08002B2CF9AE}" pid="16" name="_docset_NoMedatataSyncRequired">
    <vt:lpwstr>False</vt:lpwstr>
  </property>
</Properties>
</file>