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FC" w:rsidRPr="009C187C" w:rsidRDefault="00B60A66" w:rsidP="009C187C">
      <w:pPr>
        <w:pStyle w:val="ListParagraph"/>
        <w:numPr>
          <w:ilvl w:val="0"/>
          <w:numId w:val="1"/>
        </w:numPr>
        <w:rPr>
          <w:b/>
        </w:rPr>
      </w:pPr>
      <w:r w:rsidRPr="009C187C">
        <w:rPr>
          <w:b/>
        </w:rPr>
        <w:t>Fisheries and Aquaculture for Food security in Indonesia (FAFI)</w:t>
      </w:r>
    </w:p>
    <w:p w:rsidR="00F2369B" w:rsidRPr="009C187C" w:rsidRDefault="00F2369B" w:rsidP="00F2369B">
      <w:pPr>
        <w:spacing w:after="0" w:line="240" w:lineRule="auto"/>
        <w:ind w:left="23" w:hanging="23"/>
      </w:pPr>
      <w:r w:rsidRPr="009C187C">
        <w:t>T</w:t>
      </w:r>
      <w:r w:rsidRPr="009C187C">
        <w:t>he project looks for ways to</w:t>
      </w:r>
      <w:r w:rsidRPr="009C187C">
        <w:t xml:space="preserve"> </w:t>
      </w:r>
      <w:r w:rsidRPr="009C187C">
        <w:rPr>
          <w:u w:val="single"/>
        </w:rPr>
        <w:t>reduce post-harvest losses</w:t>
      </w:r>
      <w:r w:rsidRPr="009C187C">
        <w:t xml:space="preserve"> in the capture fisheries</w:t>
      </w:r>
      <w:r w:rsidRPr="009C187C">
        <w:t xml:space="preserve"> v</w:t>
      </w:r>
      <w:r w:rsidRPr="009C187C">
        <w:t>alue</w:t>
      </w:r>
      <w:r w:rsidRPr="009C187C">
        <w:t xml:space="preserve"> </w:t>
      </w:r>
      <w:r w:rsidRPr="009C187C">
        <w:t xml:space="preserve">chain and </w:t>
      </w:r>
      <w:r w:rsidRPr="009C187C">
        <w:rPr>
          <w:u w:val="single"/>
        </w:rPr>
        <w:t>increase freshwater aquaculture</w:t>
      </w:r>
      <w:r w:rsidRPr="009C187C">
        <w:rPr>
          <w:u w:val="single"/>
        </w:rPr>
        <w:t xml:space="preserve"> </w:t>
      </w:r>
      <w:r w:rsidRPr="009C187C">
        <w:rPr>
          <w:u w:val="single"/>
        </w:rPr>
        <w:t>production</w:t>
      </w:r>
      <w:r w:rsidRPr="009C187C">
        <w:t xml:space="preserve"> through improved technologies and inputs.</w:t>
      </w:r>
    </w:p>
    <w:p w:rsidR="00467DC3" w:rsidRPr="009C187C" w:rsidRDefault="00467DC3" w:rsidP="00F2369B">
      <w:pPr>
        <w:spacing w:line="240" w:lineRule="auto"/>
      </w:pPr>
    </w:p>
    <w:p w:rsidR="00F2369B" w:rsidRPr="009C187C" w:rsidRDefault="00947D9F" w:rsidP="00F2369B">
      <w:pPr>
        <w:spacing w:line="240" w:lineRule="auto"/>
      </w:pPr>
      <w:r w:rsidRPr="009C187C">
        <w:t>Issues related to sanitation and hygiene in fishing ports</w:t>
      </w:r>
      <w:r w:rsidRPr="009C187C">
        <w:t xml:space="preserve"> </w:t>
      </w:r>
      <w:r w:rsidRPr="009C187C">
        <w:t>a</w:t>
      </w:r>
      <w:r w:rsidR="00467DC3" w:rsidRPr="009C187C">
        <w:t xml:space="preserve">s well as </w:t>
      </w:r>
      <w:r w:rsidRPr="009C187C">
        <w:t>inspection and control with respect to</w:t>
      </w:r>
      <w:r w:rsidRPr="009C187C">
        <w:t xml:space="preserve"> </w:t>
      </w:r>
      <w:r w:rsidRPr="009C187C">
        <w:t xml:space="preserve">food safety </w:t>
      </w:r>
      <w:r w:rsidR="00467DC3" w:rsidRPr="009C187C">
        <w:t xml:space="preserve">and quality products </w:t>
      </w:r>
      <w:r w:rsidRPr="009C187C">
        <w:t>are addressed so that Indonesian consumers</w:t>
      </w:r>
      <w:r w:rsidRPr="009C187C">
        <w:t xml:space="preserve"> </w:t>
      </w:r>
      <w:r w:rsidRPr="009C187C">
        <w:t xml:space="preserve">can count on healthy </w:t>
      </w:r>
      <w:r w:rsidR="00F2369B" w:rsidRPr="009C187C">
        <w:t xml:space="preserve">and safe fish and fish products and </w:t>
      </w:r>
      <w:r w:rsidRPr="009C187C">
        <w:t xml:space="preserve">threats to public health are avoided. </w:t>
      </w:r>
    </w:p>
    <w:p w:rsidR="00467DC3" w:rsidRPr="009C187C" w:rsidRDefault="00467DC3" w:rsidP="00467DC3">
      <w:pPr>
        <w:spacing w:line="240" w:lineRule="auto"/>
        <w:rPr>
          <w:lang w:eastAsia="en-GB"/>
        </w:rPr>
      </w:pPr>
      <w:r w:rsidRPr="009C187C">
        <w:rPr>
          <w:lang w:eastAsia="en-GB"/>
        </w:rPr>
        <w:t>I</w:t>
      </w:r>
      <w:r w:rsidRPr="00467DC3">
        <w:rPr>
          <w:lang w:eastAsia="en-GB"/>
        </w:rPr>
        <w:t xml:space="preserve">nterventions and </w:t>
      </w:r>
      <w:r w:rsidRPr="009C187C">
        <w:rPr>
          <w:lang w:eastAsia="en-GB"/>
        </w:rPr>
        <w:t>capacity building to enhance t</w:t>
      </w:r>
      <w:r w:rsidRPr="00467DC3">
        <w:rPr>
          <w:lang w:eastAsia="en-GB"/>
        </w:rPr>
        <w:t>raditional fish processing techn</w:t>
      </w:r>
      <w:r w:rsidRPr="009C187C">
        <w:rPr>
          <w:lang w:eastAsia="en-GB"/>
        </w:rPr>
        <w:t xml:space="preserve">ologies </w:t>
      </w:r>
      <w:r w:rsidRPr="00467DC3">
        <w:rPr>
          <w:lang w:eastAsia="en-GB"/>
        </w:rPr>
        <w:t xml:space="preserve">and </w:t>
      </w:r>
      <w:r w:rsidRPr="009C187C">
        <w:rPr>
          <w:lang w:eastAsia="en-GB"/>
        </w:rPr>
        <w:t xml:space="preserve">value </w:t>
      </w:r>
      <w:r w:rsidRPr="00467DC3">
        <w:rPr>
          <w:lang w:eastAsia="en-GB"/>
        </w:rPr>
        <w:t>chains</w:t>
      </w:r>
      <w:r w:rsidRPr="009C187C">
        <w:rPr>
          <w:lang w:eastAsia="en-GB"/>
        </w:rPr>
        <w:t xml:space="preserve">, </w:t>
      </w:r>
      <w:r w:rsidRPr="00467DC3">
        <w:rPr>
          <w:lang w:eastAsia="en-GB"/>
        </w:rPr>
        <w:t>to diversify and increase production of value added fish products for the domestic market</w:t>
      </w:r>
      <w:r w:rsidRPr="009C187C">
        <w:rPr>
          <w:lang w:eastAsia="en-GB"/>
        </w:rPr>
        <w:t xml:space="preserve"> and to</w:t>
      </w:r>
      <w:r w:rsidRPr="00467DC3">
        <w:rPr>
          <w:lang w:eastAsia="en-GB"/>
        </w:rPr>
        <w:t xml:space="preserve"> </w:t>
      </w:r>
      <w:r w:rsidRPr="009C187C">
        <w:rPr>
          <w:lang w:eastAsia="en-GB"/>
        </w:rPr>
        <w:t>improve livelihood of the actors in the chains</w:t>
      </w:r>
      <w:r w:rsidRPr="009C187C">
        <w:rPr>
          <w:lang w:eastAsia="en-GB"/>
        </w:rPr>
        <w:t>.</w:t>
      </w:r>
    </w:p>
    <w:p w:rsidR="00467DC3" w:rsidRPr="009C187C" w:rsidRDefault="00467DC3" w:rsidP="00467DC3">
      <w:pPr>
        <w:spacing w:line="240" w:lineRule="auto"/>
        <w:rPr>
          <w:lang w:eastAsia="en-GB"/>
        </w:rPr>
      </w:pPr>
      <w:r w:rsidRPr="009C187C">
        <w:rPr>
          <w:lang w:eastAsia="en-GB"/>
        </w:rPr>
        <w:t>With respect to freshwater aquaculture production, attention will focus on the improvement of the parent fish strains and</w:t>
      </w:r>
      <w:r w:rsidR="009C187C" w:rsidRPr="009C187C">
        <w:rPr>
          <w:lang w:eastAsia="en-GB"/>
        </w:rPr>
        <w:t xml:space="preserve"> farm management.</w:t>
      </w:r>
    </w:p>
    <w:p w:rsidR="009C187C" w:rsidRPr="009C187C" w:rsidRDefault="009C187C" w:rsidP="00467DC3">
      <w:pPr>
        <w:spacing w:line="240" w:lineRule="auto"/>
        <w:rPr>
          <w:lang w:eastAsia="en-GB"/>
        </w:rPr>
      </w:pPr>
    </w:p>
    <w:p w:rsidR="009C187C" w:rsidRPr="009C187C" w:rsidRDefault="009C187C" w:rsidP="009C187C">
      <w:pPr>
        <w:pStyle w:val="ListParagraph"/>
        <w:numPr>
          <w:ilvl w:val="0"/>
          <w:numId w:val="1"/>
        </w:numPr>
        <w:spacing w:line="240" w:lineRule="auto"/>
        <w:rPr>
          <w:b/>
          <w:lang w:eastAsia="en-GB"/>
        </w:rPr>
      </w:pPr>
      <w:r w:rsidRPr="009C187C">
        <w:rPr>
          <w:b/>
          <w:lang w:eastAsia="en-GB"/>
        </w:rPr>
        <w:t xml:space="preserve">NICHE </w:t>
      </w:r>
      <w:r w:rsidRPr="009C187C">
        <w:rPr>
          <w:i/>
          <w:lang w:eastAsia="en-GB"/>
        </w:rPr>
        <w:t>(Netherlands Initiative for Capacity development in Higher Education)</w:t>
      </w:r>
    </w:p>
    <w:p w:rsidR="009C187C" w:rsidRPr="009C187C" w:rsidRDefault="009C187C" w:rsidP="009C187C">
      <w:pPr>
        <w:spacing w:line="240" w:lineRule="auto"/>
        <w:rPr>
          <w:lang w:eastAsia="en-GB"/>
        </w:rPr>
      </w:pPr>
      <w:r w:rsidRPr="009C187C">
        <w:rPr>
          <w:b/>
          <w:lang w:eastAsia="en-GB"/>
        </w:rPr>
        <w:t>Capacity building for Fish processing Technology</w:t>
      </w:r>
      <w:r w:rsidRPr="009C187C">
        <w:rPr>
          <w:b/>
          <w:lang w:eastAsia="en-GB"/>
        </w:rPr>
        <w:t xml:space="preserve"> (</w:t>
      </w:r>
      <w:r w:rsidRPr="009C187C">
        <w:rPr>
          <w:lang w:eastAsia="en-GB"/>
        </w:rPr>
        <w:t>2015-2019</w:t>
      </w:r>
      <w:r w:rsidRPr="009C187C">
        <w:rPr>
          <w:lang w:eastAsia="en-GB"/>
        </w:rPr>
        <w:t>)</w:t>
      </w:r>
    </w:p>
    <w:p w:rsidR="009C187C" w:rsidRPr="009C187C" w:rsidRDefault="009C187C" w:rsidP="009C187C">
      <w:pPr>
        <w:spacing w:line="240" w:lineRule="auto"/>
        <w:rPr>
          <w:lang w:eastAsia="en-GB"/>
        </w:rPr>
      </w:pPr>
      <w:r w:rsidRPr="009C187C">
        <w:rPr>
          <w:lang w:eastAsia="en-GB"/>
        </w:rPr>
        <w:t>Jakarta Fisheries University</w:t>
      </w:r>
      <w:r w:rsidRPr="009C187C">
        <w:rPr>
          <w:lang w:eastAsia="en-GB"/>
        </w:rPr>
        <w:t>, CDI /</w:t>
      </w:r>
      <w:r w:rsidRPr="009C187C">
        <w:rPr>
          <w:lang w:eastAsia="en-GB"/>
        </w:rPr>
        <w:t xml:space="preserve"> Wageningen University</w:t>
      </w:r>
      <w:r w:rsidRPr="009C187C">
        <w:rPr>
          <w:lang w:eastAsia="en-GB"/>
        </w:rPr>
        <w:t xml:space="preserve"> and a </w:t>
      </w:r>
      <w:r w:rsidRPr="009C187C">
        <w:rPr>
          <w:lang w:eastAsia="en-GB"/>
        </w:rPr>
        <w:t>Private Sector consortium</w:t>
      </w:r>
    </w:p>
    <w:p w:rsidR="009C187C" w:rsidRDefault="009C187C">
      <w:pPr>
        <w:spacing w:line="240" w:lineRule="auto"/>
        <w:rPr>
          <w:sz w:val="28"/>
          <w:szCs w:val="28"/>
          <w:lang w:eastAsia="en-GB"/>
        </w:rPr>
      </w:pPr>
    </w:p>
    <w:p w:rsidR="00A951E7" w:rsidRDefault="009C187C" w:rsidP="00A951E7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eastAsia="en-GB"/>
        </w:rPr>
      </w:pPr>
      <w:proofErr w:type="spellStart"/>
      <w:r w:rsidRPr="009C187C">
        <w:rPr>
          <w:b/>
          <w:sz w:val="28"/>
          <w:szCs w:val="28"/>
          <w:lang w:eastAsia="en-GB"/>
        </w:rPr>
        <w:t>BESTTuna</w:t>
      </w:r>
      <w:proofErr w:type="spellEnd"/>
    </w:p>
    <w:p w:rsidR="00A951E7" w:rsidRPr="00A951E7" w:rsidRDefault="00A951E7" w:rsidP="00A951E7">
      <w:pPr>
        <w:pStyle w:val="ListParagraph"/>
        <w:spacing w:line="240" w:lineRule="auto"/>
        <w:rPr>
          <w:sz w:val="28"/>
          <w:szCs w:val="28"/>
          <w:lang w:eastAsia="en-GB"/>
        </w:rPr>
      </w:pPr>
    </w:p>
    <w:p w:rsidR="00A951E7" w:rsidRDefault="009C187C" w:rsidP="00A951E7">
      <w:pPr>
        <w:pStyle w:val="ListParagraph"/>
        <w:spacing w:line="240" w:lineRule="auto"/>
        <w:ind w:left="0"/>
        <w:rPr>
          <w:lang w:eastAsia="en-GB"/>
        </w:rPr>
      </w:pPr>
      <w:r w:rsidRPr="00A951E7">
        <w:rPr>
          <w:lang w:eastAsia="en-GB"/>
        </w:rPr>
        <w:t>Benefiting from Innovations in Sustainable and Equitable Management of Fisheries on Trans-boundary Tuna's in the Coral Triangle and Western Pacific</w:t>
      </w:r>
    </w:p>
    <w:p w:rsidR="00A951E7" w:rsidRDefault="00A951E7" w:rsidP="00A951E7">
      <w:pPr>
        <w:pStyle w:val="ListParagraph"/>
        <w:spacing w:line="240" w:lineRule="auto"/>
        <w:ind w:left="0"/>
        <w:rPr>
          <w:lang w:eastAsia="en-GB"/>
        </w:rPr>
      </w:pPr>
    </w:p>
    <w:p w:rsidR="00A951E7" w:rsidRDefault="00A951E7" w:rsidP="00A951E7">
      <w:pPr>
        <w:pStyle w:val="ListParagraph"/>
        <w:numPr>
          <w:ilvl w:val="0"/>
          <w:numId w:val="5"/>
        </w:numPr>
        <w:ind w:left="284" w:hanging="284"/>
        <w:rPr>
          <w:lang w:eastAsia="en-GB"/>
        </w:rPr>
      </w:pPr>
      <w:r w:rsidRPr="00A951E7">
        <w:rPr>
          <w:lang w:eastAsia="en-GB"/>
        </w:rPr>
        <w:t>Understand the complex social-ecological interactions in tuna fisheries, an assessment of optimized (existing and future) sustainable and equitable tuna fisheries</w:t>
      </w:r>
    </w:p>
    <w:p w:rsidR="00000000" w:rsidRPr="00A951E7" w:rsidRDefault="00A951E7" w:rsidP="00A951E7">
      <w:pPr>
        <w:numPr>
          <w:ilvl w:val="0"/>
          <w:numId w:val="5"/>
        </w:numPr>
        <w:ind w:left="284" w:hanging="284"/>
        <w:rPr>
          <w:lang w:eastAsia="en-GB"/>
        </w:rPr>
      </w:pPr>
      <w:r w:rsidRPr="00A951E7">
        <w:rPr>
          <w:lang w:eastAsia="en-GB"/>
        </w:rPr>
        <w:t xml:space="preserve">Design of effective and equitable governance arrangements to achieve sustainable tuna management in the Coral Triangle and Western Pacific. </w:t>
      </w:r>
    </w:p>
    <w:p w:rsidR="00000000" w:rsidRPr="00A951E7" w:rsidRDefault="00A951E7" w:rsidP="00A951E7">
      <w:pPr>
        <w:numPr>
          <w:ilvl w:val="0"/>
          <w:numId w:val="5"/>
        </w:numPr>
        <w:ind w:left="284" w:hanging="284"/>
        <w:rPr>
          <w:lang w:eastAsia="en-GB"/>
        </w:rPr>
      </w:pPr>
      <w:r w:rsidRPr="00A951E7">
        <w:rPr>
          <w:lang w:eastAsia="en-GB"/>
        </w:rPr>
        <w:t xml:space="preserve">An effective </w:t>
      </w:r>
      <w:r w:rsidRPr="00A951E7">
        <w:rPr>
          <w:lang w:eastAsia="en-GB"/>
        </w:rPr>
        <w:t>global long-term science-governance network for sustainable tuna fisheries in the Coral Triangle and Western Pacific.</w:t>
      </w:r>
    </w:p>
    <w:p w:rsidR="00A951E7" w:rsidRPr="00A951E7" w:rsidRDefault="00A951E7" w:rsidP="00A951E7">
      <w:pPr>
        <w:rPr>
          <w:lang w:eastAsia="en-GB"/>
        </w:rPr>
      </w:pPr>
      <w:bookmarkStart w:id="0" w:name="_GoBack"/>
      <w:bookmarkEnd w:id="0"/>
    </w:p>
    <w:p w:rsidR="009C187C" w:rsidRPr="00A951E7" w:rsidRDefault="009C187C" w:rsidP="00A951E7">
      <w:pPr>
        <w:pStyle w:val="ListParagraph"/>
        <w:spacing w:line="240" w:lineRule="auto"/>
        <w:ind w:left="0"/>
        <w:rPr>
          <w:lang w:eastAsia="en-GB"/>
        </w:rPr>
      </w:pPr>
    </w:p>
    <w:sectPr w:rsidR="009C187C" w:rsidRPr="00A9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21F"/>
    <w:multiLevelType w:val="hybridMultilevel"/>
    <w:tmpl w:val="B2223236"/>
    <w:lvl w:ilvl="0" w:tplc="9E2A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9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2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02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E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8B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63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E7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E6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C02AAA"/>
    <w:multiLevelType w:val="hybridMultilevel"/>
    <w:tmpl w:val="CFB4A0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3F2DAB"/>
    <w:multiLevelType w:val="hybridMultilevel"/>
    <w:tmpl w:val="0422DD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7BBD"/>
    <w:multiLevelType w:val="hybridMultilevel"/>
    <w:tmpl w:val="92F09982"/>
    <w:lvl w:ilvl="0" w:tplc="7BF87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8B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AD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D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0E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05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E7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0F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C2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B644F2"/>
    <w:multiLevelType w:val="hybridMultilevel"/>
    <w:tmpl w:val="5C2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66"/>
    <w:rsid w:val="0032766A"/>
    <w:rsid w:val="00467DC3"/>
    <w:rsid w:val="00947D9F"/>
    <w:rsid w:val="009C187C"/>
    <w:rsid w:val="00A951E7"/>
    <w:rsid w:val="00B60A66"/>
    <w:rsid w:val="00E86F18"/>
    <w:rsid w:val="00F2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8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Spliethoff, Petra</dc:creator>
  <cp:lastModifiedBy>Spliethoff, Petra</cp:lastModifiedBy>
  <cp:revision>1</cp:revision>
  <dcterms:created xsi:type="dcterms:W3CDTF">2015-06-01T08:14:00Z</dcterms:created>
  <dcterms:modified xsi:type="dcterms:W3CDTF">2015-06-01T09:09:00Z</dcterms:modified>
</cp:coreProperties>
</file>